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9"/>
        <w:ind w:firstLine="0"/>
        <w:rPr>
          <w:rFonts w:ascii="Times New Roman" w:hAnsi="Times New Roman" w:eastAsia="黑体"/>
          <w:b/>
          <w:bCs/>
          <w:sz w:val="84"/>
        </w:rPr>
      </w:pPr>
    </w:p>
    <w:p>
      <w:pPr>
        <w:pStyle w:val="159"/>
        <w:ind w:firstLine="0"/>
        <w:jc w:val="center"/>
        <w:rPr>
          <w:rFonts w:ascii="Times New Roman" w:hAnsi="Times New Roman" w:eastAsia="黑体"/>
          <w:b/>
          <w:bCs/>
          <w:sz w:val="84"/>
        </w:rPr>
      </w:pPr>
      <w:r>
        <w:rPr>
          <w:rFonts w:hint="eastAsia" w:ascii="Times New Roman" w:hAnsi="Times New Roman" w:eastAsia="黑体"/>
          <w:b/>
          <w:bCs/>
          <w:sz w:val="84"/>
        </w:rPr>
        <w:t>招　标　文　件</w:t>
      </w:r>
    </w:p>
    <w:p>
      <w:pPr>
        <w:pStyle w:val="159"/>
        <w:ind w:firstLine="643" w:firstLineChars="200"/>
        <w:jc w:val="both"/>
        <w:rPr>
          <w:rFonts w:ascii="Times New Roman" w:hAnsi="Times New Roman"/>
          <w:b/>
          <w:bCs/>
          <w:sz w:val="32"/>
        </w:rPr>
      </w:pPr>
    </w:p>
    <w:p>
      <w:pPr>
        <w:pStyle w:val="159"/>
        <w:adjustRightInd/>
        <w:spacing w:line="600" w:lineRule="auto"/>
        <w:ind w:firstLine="0"/>
        <w:jc w:val="both"/>
        <w:textAlignment w:val="auto"/>
        <w:rPr>
          <w:rFonts w:ascii="Times New Roman" w:hAnsi="Times New Roman"/>
          <w:b/>
          <w:bCs/>
          <w:sz w:val="32"/>
        </w:rPr>
      </w:pPr>
      <w:r>
        <w:rPr>
          <w:rFonts w:hint="eastAsia" w:ascii="Times New Roman" w:hAnsi="Times New Roman"/>
          <w:b/>
          <w:bCs/>
          <w:sz w:val="32"/>
        </w:rPr>
        <w:t>项目名称：洋河新区公办中小学后勤人员外包服务采购项目</w:t>
      </w:r>
    </w:p>
    <w:p>
      <w:pPr>
        <w:pStyle w:val="159"/>
        <w:adjustRightInd/>
        <w:spacing w:line="600" w:lineRule="auto"/>
        <w:ind w:firstLine="0"/>
        <w:jc w:val="both"/>
        <w:textAlignment w:val="auto"/>
        <w:rPr>
          <w:rFonts w:ascii="Times New Roman" w:hAnsi="Times New Roman"/>
          <w:b/>
          <w:bCs/>
          <w:sz w:val="32"/>
        </w:rPr>
      </w:pPr>
      <w:r>
        <w:rPr>
          <w:rFonts w:hint="eastAsia" w:ascii="Times New Roman" w:hAnsi="Times New Roman"/>
          <w:b/>
          <w:bCs/>
          <w:sz w:val="32"/>
        </w:rPr>
        <w:t xml:space="preserve">项目编号：           </w:t>
      </w:r>
    </w:p>
    <w:p>
      <w:pPr>
        <w:pStyle w:val="159"/>
        <w:adjustRightInd/>
        <w:spacing w:line="600" w:lineRule="auto"/>
        <w:ind w:firstLine="0"/>
        <w:jc w:val="center"/>
        <w:textAlignment w:val="auto"/>
        <w:outlineLvl w:val="0"/>
        <w:rPr>
          <w:rFonts w:ascii="Times New Roman" w:hAnsi="Times New Roman"/>
          <w:b/>
          <w:bCs/>
          <w:sz w:val="32"/>
        </w:rPr>
      </w:pPr>
      <w:bookmarkStart w:id="0" w:name="_Toc9315"/>
      <w:bookmarkStart w:id="1" w:name="_Toc29606"/>
      <w:r>
        <w:rPr>
          <w:rFonts w:hint="eastAsia" w:ascii="Times New Roman" w:hAnsi="Times New Roman"/>
          <w:b/>
          <w:bCs/>
          <w:sz w:val="32"/>
        </w:rPr>
        <w:t>（服务类项目，专门面向中小企业）</w:t>
      </w:r>
      <w:bookmarkEnd w:id="0"/>
      <w:bookmarkEnd w:id="1"/>
    </w:p>
    <w:p>
      <w:pPr>
        <w:pStyle w:val="159"/>
        <w:spacing w:before="0" w:after="0"/>
        <w:ind w:firstLine="0"/>
        <w:rPr>
          <w:rFonts w:ascii="Times New Roman" w:hAnsi="Times New Roman"/>
        </w:rPr>
      </w:pPr>
    </w:p>
    <w:p>
      <w:pPr>
        <w:pStyle w:val="159"/>
        <w:spacing w:before="0" w:after="0"/>
        <w:ind w:firstLine="0"/>
        <w:rPr>
          <w:rFonts w:ascii="Times New Roman" w:hAnsi="Times New Roman"/>
        </w:rPr>
      </w:pPr>
    </w:p>
    <w:p>
      <w:pPr>
        <w:pStyle w:val="159"/>
        <w:spacing w:before="0" w:after="0"/>
        <w:ind w:firstLine="0"/>
        <w:rPr>
          <w:rFonts w:ascii="Times New Roman" w:hAnsi="Times New Roman"/>
        </w:rPr>
      </w:pPr>
    </w:p>
    <w:p>
      <w:pPr>
        <w:pStyle w:val="159"/>
        <w:spacing w:before="0" w:after="0"/>
        <w:ind w:firstLine="0"/>
        <w:rPr>
          <w:rFonts w:ascii="Times New Roman" w:hAnsi="Times New Roman"/>
        </w:rPr>
      </w:pPr>
    </w:p>
    <w:p>
      <w:pPr>
        <w:pStyle w:val="159"/>
        <w:spacing w:before="0" w:after="0"/>
        <w:ind w:firstLine="0"/>
        <w:rPr>
          <w:rFonts w:ascii="Times New Roman" w:hAnsi="Times New Roman"/>
        </w:rPr>
      </w:pPr>
    </w:p>
    <w:p>
      <w:pPr>
        <w:pStyle w:val="159"/>
        <w:adjustRightInd/>
        <w:textAlignment w:val="auto"/>
        <w:rPr>
          <w:rFonts w:ascii="Times New Roman" w:hAnsi="Times New Roman"/>
          <w:b/>
          <w:bCs/>
          <w:sz w:val="32"/>
        </w:rPr>
      </w:pPr>
      <w:r>
        <w:rPr>
          <w:rFonts w:hint="eastAsia" w:ascii="Times New Roman" w:hAnsi="Times New Roman"/>
          <w:b/>
          <w:bCs/>
          <w:sz w:val="32"/>
        </w:rPr>
        <w:t>采购人：</w:t>
      </w:r>
      <w:r>
        <w:rPr>
          <w:rFonts w:hint="eastAsia" w:ascii="Times New Roman" w:hAnsi="Times New Roman"/>
          <w:b/>
          <w:bCs/>
          <w:sz w:val="32"/>
          <w:u w:val="single"/>
        </w:rPr>
        <w:t>宿迁市洋河新区教育工作领导小组办公室</w:t>
      </w:r>
    </w:p>
    <w:p>
      <w:pPr>
        <w:pStyle w:val="159"/>
        <w:adjustRightInd/>
        <w:textAlignment w:val="auto"/>
        <w:rPr>
          <w:rFonts w:ascii="Times New Roman" w:hAnsi="Times New Roman"/>
          <w:b/>
          <w:bCs/>
          <w:sz w:val="32"/>
          <w:u w:val="single"/>
        </w:rPr>
      </w:pPr>
      <w:r>
        <w:rPr>
          <w:rFonts w:hint="eastAsia" w:ascii="Times New Roman" w:hAnsi="Times New Roman"/>
          <w:b/>
          <w:bCs/>
          <w:sz w:val="32"/>
        </w:rPr>
        <w:t>采购代理机构：</w:t>
      </w:r>
      <w:r>
        <w:rPr>
          <w:rFonts w:hint="eastAsia" w:ascii="Times New Roman" w:hAnsi="Times New Roman"/>
          <w:b/>
          <w:bCs/>
          <w:sz w:val="32"/>
          <w:u w:val="single"/>
        </w:rPr>
        <w:t>宿迁市洋河新区公共资源交易中心</w:t>
      </w:r>
    </w:p>
    <w:p>
      <w:pPr>
        <w:pStyle w:val="159"/>
        <w:ind w:firstLine="2570" w:firstLineChars="800"/>
        <w:jc w:val="both"/>
        <w:rPr>
          <w:rFonts w:ascii="Times New Roman" w:hAnsi="Times New Roman"/>
          <w:b/>
          <w:bCs/>
          <w:sz w:val="32"/>
        </w:rPr>
      </w:pPr>
      <w:r>
        <w:rPr>
          <w:rFonts w:hint="eastAsia" w:ascii="Times New Roman" w:hAnsi="Times New Roman"/>
          <w:b/>
          <w:bCs/>
          <w:sz w:val="32"/>
        </w:rPr>
        <w:t>2025年</w:t>
      </w:r>
      <w:r>
        <w:rPr>
          <w:rFonts w:ascii="Times New Roman" w:hAnsi="Times New Roman"/>
          <w:b/>
          <w:bCs/>
          <w:sz w:val="32"/>
        </w:rPr>
        <w:t>___</w:t>
      </w:r>
      <w:r>
        <w:rPr>
          <w:rFonts w:hint="eastAsia" w:ascii="Times New Roman" w:hAnsi="Times New Roman"/>
          <w:b/>
          <w:bCs/>
          <w:sz w:val="32"/>
        </w:rPr>
        <w:t>月</w:t>
      </w:r>
      <w:r>
        <w:rPr>
          <w:rFonts w:ascii="Times New Roman" w:hAnsi="Times New Roman"/>
          <w:b/>
          <w:bCs/>
          <w:sz w:val="32"/>
        </w:rPr>
        <w:t>___</w:t>
      </w:r>
      <w:r>
        <w:rPr>
          <w:rFonts w:hint="eastAsia" w:ascii="Times New Roman" w:hAnsi="Times New Roman"/>
          <w:b/>
          <w:bCs/>
          <w:sz w:val="32"/>
        </w:rPr>
        <w:t>日</w:t>
      </w:r>
    </w:p>
    <w:p>
      <w:pPr>
        <w:pStyle w:val="159"/>
        <w:ind w:firstLine="0"/>
        <w:jc w:val="center"/>
        <w:rPr>
          <w:rFonts w:ascii="宋体" w:hAnsi="宋体" w:cs="宋体"/>
          <w:b/>
          <w:sz w:val="32"/>
          <w:szCs w:val="32"/>
        </w:rPr>
      </w:pPr>
      <w:r>
        <w:rPr>
          <w:rFonts w:hint="eastAsia" w:ascii="宋体" w:hAnsi="宋体" w:cs="宋体"/>
          <w:b/>
          <w:sz w:val="32"/>
          <w:szCs w:val="32"/>
          <w:highlight w:val="white"/>
        </w:rPr>
        <w:br w:type="page"/>
      </w:r>
    </w:p>
    <w:p>
      <w:pPr>
        <w:keepNext/>
        <w:keepLines/>
        <w:pageBreakBefore/>
        <w:jc w:val="center"/>
        <w:rPr>
          <w:rFonts w:ascii="宋体" w:hAnsi="宋体"/>
        </w:rPr>
      </w:pPr>
    </w:p>
    <w:sdt>
      <w:sdtPr>
        <w:rPr>
          <w:rFonts w:ascii="宋体" w:hAnsi="宋体"/>
        </w:rPr>
        <w:id w:val="147469979"/>
        <w:docPartObj>
          <w:docPartGallery w:val="Table of Contents"/>
          <w:docPartUnique/>
        </w:docPartObj>
      </w:sdtPr>
      <w:sdtEndPr>
        <w:rPr>
          <w:rFonts w:ascii="宋体" w:hAnsi="宋体"/>
        </w:rPr>
      </w:sdtEndPr>
      <w:sdtContent>
        <w:p>
          <w:pPr>
            <w:jc w:val="center"/>
          </w:pPr>
          <w:bookmarkStart w:id="2" w:name="_Toc4763"/>
          <w:r>
            <w:rPr>
              <w:rFonts w:hint="eastAsia" w:ascii="黑体" w:hAnsi="黑体" w:eastAsia="黑体" w:cs="黑体"/>
              <w:sz w:val="40"/>
              <w:szCs w:val="40"/>
            </w:rPr>
            <w:t>目录</w:t>
          </w:r>
        </w:p>
        <w:p>
          <w:pPr>
            <w:pStyle w:val="235"/>
            <w:tabs>
              <w:tab w:val="right" w:leader="dot" w:pos="8953"/>
            </w:tabs>
          </w:pPr>
          <w:r>
            <w:fldChar w:fldCharType="begin"/>
          </w:r>
          <w:r>
            <w:instrText xml:space="preserve">TOC \o "1-1" \h \u </w:instrText>
          </w:r>
          <w:r>
            <w:fldChar w:fldCharType="separate"/>
          </w:r>
        </w:p>
        <w:p>
          <w:pPr>
            <w:pStyle w:val="235"/>
            <w:tabs>
              <w:tab w:val="right" w:leader="dot" w:pos="8953"/>
            </w:tabs>
            <w:rPr>
              <w:rFonts w:ascii="黑体" w:hAnsi="黑体" w:eastAsia="黑体" w:cs="黑体"/>
              <w:sz w:val="28"/>
              <w:szCs w:val="28"/>
            </w:rPr>
          </w:pPr>
          <w:r>
            <w:fldChar w:fldCharType="begin"/>
          </w:r>
          <w:r>
            <w:instrText xml:space="preserve"> HYPERLINK \l "_Toc3902" </w:instrText>
          </w:r>
          <w:r>
            <w:fldChar w:fldCharType="separate"/>
          </w:r>
          <w:r>
            <w:rPr>
              <w:rFonts w:hint="eastAsia" w:ascii="黑体" w:hAnsi="黑体" w:eastAsia="黑体" w:cs="黑体"/>
              <w:sz w:val="28"/>
              <w:szCs w:val="28"/>
            </w:rPr>
            <w:t>第一章  投标邀请</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_Toc3902 \h </w:instrText>
          </w:r>
          <w:r>
            <w:rPr>
              <w:rFonts w:hint="eastAsia" w:ascii="黑体" w:hAnsi="黑体" w:eastAsia="黑体" w:cs="黑体"/>
              <w:sz w:val="28"/>
              <w:szCs w:val="28"/>
            </w:rPr>
            <w:fldChar w:fldCharType="separate"/>
          </w:r>
          <w:r>
            <w:rPr>
              <w:rFonts w:hint="eastAsia" w:ascii="黑体" w:hAnsi="黑体" w:eastAsia="黑体" w:cs="黑体"/>
              <w:sz w:val="28"/>
              <w:szCs w:val="28"/>
            </w:rPr>
            <w:t>3</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235"/>
            <w:tabs>
              <w:tab w:val="right" w:leader="dot" w:pos="8953"/>
            </w:tabs>
            <w:rPr>
              <w:rFonts w:ascii="黑体" w:hAnsi="黑体" w:eastAsia="黑体" w:cs="黑体"/>
              <w:sz w:val="28"/>
              <w:szCs w:val="28"/>
            </w:rPr>
          </w:pPr>
          <w:r>
            <w:fldChar w:fldCharType="begin"/>
          </w:r>
          <w:r>
            <w:instrText xml:space="preserve"> HYPERLINK \l "_Toc21246" </w:instrText>
          </w:r>
          <w:r>
            <w:fldChar w:fldCharType="separate"/>
          </w:r>
          <w:r>
            <w:rPr>
              <w:rFonts w:hint="eastAsia" w:ascii="黑体" w:hAnsi="黑体" w:eastAsia="黑体" w:cs="黑体"/>
              <w:sz w:val="28"/>
              <w:szCs w:val="28"/>
            </w:rPr>
            <w:t>第二章  投标人须知</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_Toc21246 \h </w:instrText>
          </w:r>
          <w:r>
            <w:rPr>
              <w:rFonts w:hint="eastAsia" w:ascii="黑体" w:hAnsi="黑体" w:eastAsia="黑体" w:cs="黑体"/>
              <w:sz w:val="28"/>
              <w:szCs w:val="28"/>
            </w:rPr>
            <w:fldChar w:fldCharType="separate"/>
          </w:r>
          <w:r>
            <w:rPr>
              <w:rFonts w:hint="eastAsia" w:ascii="黑体" w:hAnsi="黑体" w:eastAsia="黑体" w:cs="黑体"/>
              <w:sz w:val="28"/>
              <w:szCs w:val="28"/>
            </w:rPr>
            <w:t>6</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235"/>
            <w:tabs>
              <w:tab w:val="right" w:leader="dot" w:pos="8953"/>
            </w:tabs>
            <w:rPr>
              <w:rFonts w:ascii="黑体" w:hAnsi="黑体" w:eastAsia="黑体" w:cs="黑体"/>
              <w:sz w:val="28"/>
              <w:szCs w:val="28"/>
            </w:rPr>
          </w:pPr>
          <w:r>
            <w:fldChar w:fldCharType="begin"/>
          </w:r>
          <w:r>
            <w:instrText xml:space="preserve"> HYPERLINK \l "_Toc11604" </w:instrText>
          </w:r>
          <w:r>
            <w:fldChar w:fldCharType="separate"/>
          </w:r>
          <w:r>
            <w:rPr>
              <w:rFonts w:hint="eastAsia" w:ascii="黑体" w:hAnsi="黑体" w:eastAsia="黑体" w:cs="黑体"/>
              <w:sz w:val="28"/>
              <w:szCs w:val="28"/>
              <w:highlight w:val="white"/>
            </w:rPr>
            <w:t>第三章 资格审查及评标办法</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_Toc11604 \h </w:instrText>
          </w:r>
          <w:r>
            <w:rPr>
              <w:rFonts w:hint="eastAsia" w:ascii="黑体" w:hAnsi="黑体" w:eastAsia="黑体" w:cs="黑体"/>
              <w:sz w:val="28"/>
              <w:szCs w:val="28"/>
            </w:rPr>
            <w:fldChar w:fldCharType="separate"/>
          </w:r>
          <w:r>
            <w:rPr>
              <w:rFonts w:hint="eastAsia" w:ascii="黑体" w:hAnsi="黑体" w:eastAsia="黑体" w:cs="黑体"/>
              <w:sz w:val="28"/>
              <w:szCs w:val="28"/>
            </w:rPr>
            <w:t>23</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235"/>
            <w:tabs>
              <w:tab w:val="right" w:leader="dot" w:pos="8953"/>
            </w:tabs>
            <w:rPr>
              <w:rFonts w:ascii="黑体" w:hAnsi="黑体" w:eastAsia="黑体" w:cs="黑体"/>
              <w:sz w:val="28"/>
              <w:szCs w:val="28"/>
            </w:rPr>
          </w:pPr>
          <w:r>
            <w:fldChar w:fldCharType="begin"/>
          </w:r>
          <w:r>
            <w:instrText xml:space="preserve"> HYPERLINK \l "_Toc12801" </w:instrText>
          </w:r>
          <w:r>
            <w:fldChar w:fldCharType="separate"/>
          </w:r>
          <w:r>
            <w:rPr>
              <w:rFonts w:hint="eastAsia" w:ascii="黑体" w:hAnsi="黑体" w:eastAsia="黑体" w:cs="黑体"/>
              <w:sz w:val="28"/>
              <w:szCs w:val="28"/>
            </w:rPr>
            <w:t>第四章 采购需求</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_Toc12801 \h </w:instrText>
          </w:r>
          <w:r>
            <w:rPr>
              <w:rFonts w:hint="eastAsia" w:ascii="黑体" w:hAnsi="黑体" w:eastAsia="黑体" w:cs="黑体"/>
              <w:sz w:val="28"/>
              <w:szCs w:val="28"/>
            </w:rPr>
            <w:fldChar w:fldCharType="separate"/>
          </w:r>
          <w:r>
            <w:rPr>
              <w:rFonts w:hint="eastAsia" w:ascii="黑体" w:hAnsi="黑体" w:eastAsia="黑体" w:cs="黑体"/>
              <w:sz w:val="28"/>
              <w:szCs w:val="28"/>
            </w:rPr>
            <w:t>26</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235"/>
            <w:tabs>
              <w:tab w:val="right" w:leader="dot" w:pos="8953"/>
            </w:tabs>
            <w:rPr>
              <w:rFonts w:ascii="黑体" w:hAnsi="黑体" w:eastAsia="黑体" w:cs="黑体"/>
              <w:sz w:val="28"/>
              <w:szCs w:val="28"/>
            </w:rPr>
          </w:pPr>
          <w:r>
            <w:fldChar w:fldCharType="begin"/>
          </w:r>
          <w:r>
            <w:instrText xml:space="preserve"> HYPERLINK \l "_Toc7075" </w:instrText>
          </w:r>
          <w:r>
            <w:fldChar w:fldCharType="separate"/>
          </w:r>
          <w:r>
            <w:rPr>
              <w:rFonts w:hint="eastAsia" w:ascii="黑体" w:hAnsi="黑体" w:eastAsia="黑体" w:cs="黑体"/>
              <w:kern w:val="2"/>
              <w:sz w:val="28"/>
              <w:szCs w:val="28"/>
            </w:rPr>
            <w:t>第五章 合同格式及条款</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_Toc7075 \h </w:instrText>
          </w:r>
          <w:r>
            <w:rPr>
              <w:rFonts w:hint="eastAsia" w:ascii="黑体" w:hAnsi="黑体" w:eastAsia="黑体" w:cs="黑体"/>
              <w:sz w:val="28"/>
              <w:szCs w:val="28"/>
            </w:rPr>
            <w:fldChar w:fldCharType="separate"/>
          </w:r>
          <w:r>
            <w:rPr>
              <w:rFonts w:hint="eastAsia" w:ascii="黑体" w:hAnsi="黑体" w:eastAsia="黑体" w:cs="黑体"/>
              <w:sz w:val="28"/>
              <w:szCs w:val="28"/>
            </w:rPr>
            <w:t>46</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235"/>
            <w:tabs>
              <w:tab w:val="right" w:leader="dot" w:pos="8953"/>
            </w:tabs>
          </w:pPr>
          <w:r>
            <w:fldChar w:fldCharType="begin"/>
          </w:r>
          <w:r>
            <w:instrText xml:space="preserve"> HYPERLINK \l "_Toc8112" </w:instrText>
          </w:r>
          <w:r>
            <w:fldChar w:fldCharType="separate"/>
          </w:r>
          <w:r>
            <w:rPr>
              <w:rFonts w:hint="eastAsia" w:ascii="黑体" w:hAnsi="黑体" w:eastAsia="黑体" w:cs="黑体"/>
              <w:sz w:val="28"/>
              <w:szCs w:val="28"/>
            </w:rPr>
            <w:t>第六章  投标文件格式</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_Toc8112 \h </w:instrText>
          </w:r>
          <w:r>
            <w:rPr>
              <w:rFonts w:hint="eastAsia" w:ascii="黑体" w:hAnsi="黑体" w:eastAsia="黑体" w:cs="黑体"/>
              <w:sz w:val="28"/>
              <w:szCs w:val="28"/>
            </w:rPr>
            <w:fldChar w:fldCharType="separate"/>
          </w:r>
          <w:r>
            <w:rPr>
              <w:rFonts w:hint="eastAsia" w:ascii="黑体" w:hAnsi="黑体" w:eastAsia="黑体" w:cs="黑体"/>
              <w:sz w:val="28"/>
              <w:szCs w:val="28"/>
            </w:rPr>
            <w:t>72</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235"/>
            <w:tabs>
              <w:tab w:val="right" w:leader="dot" w:pos="8953"/>
            </w:tabs>
          </w:pPr>
        </w:p>
        <w:p>
          <w:r>
            <w:fldChar w:fldCharType="end"/>
          </w:r>
        </w:p>
      </w:sdtContent>
    </w:sdt>
    <w:p/>
    <w:p>
      <w:pPr>
        <w:rPr>
          <w:rFonts w:eastAsia="黑体"/>
          <w:sz w:val="44"/>
          <w:szCs w:val="44"/>
        </w:rPr>
      </w:pPr>
      <w:bookmarkStart w:id="3" w:name="_Toc3902"/>
      <w:r>
        <w:rPr>
          <w:rFonts w:hint="eastAsia" w:eastAsia="黑体"/>
          <w:sz w:val="44"/>
          <w:szCs w:val="44"/>
        </w:rPr>
        <w:br w:type="page"/>
      </w:r>
    </w:p>
    <w:p>
      <w:pPr>
        <w:pStyle w:val="2"/>
        <w:spacing w:afterLines="100"/>
        <w:rPr>
          <w:rFonts w:ascii="Times New Roman" w:eastAsia="黑体"/>
          <w:bCs/>
          <w:sz w:val="44"/>
          <w:szCs w:val="44"/>
        </w:rPr>
      </w:pPr>
      <w:r>
        <w:rPr>
          <w:rFonts w:hint="eastAsia" w:ascii="Times New Roman" w:eastAsia="黑体"/>
          <w:sz w:val="44"/>
          <w:szCs w:val="44"/>
        </w:rPr>
        <w:t>第一章  投标邀请</w:t>
      </w:r>
      <w:bookmarkEnd w:id="2"/>
      <w:bookmarkEnd w:id="3"/>
    </w:p>
    <w:p>
      <w:pPr>
        <w:pStyle w:val="159"/>
        <w:ind w:firstLineChars="200"/>
        <w:jc w:val="both"/>
        <w:rPr>
          <w:rFonts w:ascii="方正仿宋_GBK" w:hAnsi="方正仿宋_GBK" w:eastAsia="方正仿宋_GBK" w:cs="方正仿宋_GBK"/>
        </w:rPr>
      </w:pPr>
      <w:r>
        <w:rPr>
          <w:rFonts w:hint="eastAsia" w:ascii="方正仿宋_GBK" w:hAnsi="方正仿宋_GBK" w:eastAsia="方正仿宋_GBK" w:cs="方正仿宋_GBK"/>
        </w:rPr>
        <w:t>受</w:t>
      </w:r>
      <w:bookmarkStart w:id="4" w:name="EB11245cbd13464d549abec16761ba38b8"/>
      <w:r>
        <w:rPr>
          <w:rFonts w:hint="eastAsia" w:ascii="方正仿宋_GBK" w:hAnsi="方正仿宋_GBK" w:eastAsia="方正仿宋_GBK" w:cs="方正仿宋_GBK"/>
          <w:b/>
          <w:bCs/>
          <w:u w:val="single"/>
          <w:shd w:val="clear" w:color="auto" w:fill="FFFFFF"/>
        </w:rPr>
        <w:t>宿迁市洋河新区教育工作领导小组办公室</w:t>
      </w:r>
      <w:bookmarkEnd w:id="4"/>
      <w:r>
        <w:rPr>
          <w:rFonts w:hint="eastAsia" w:ascii="方正仿宋_GBK" w:hAnsi="方正仿宋_GBK" w:eastAsia="方正仿宋_GBK" w:cs="方正仿宋_GBK"/>
        </w:rPr>
        <w:t>的委托，</w:t>
      </w:r>
      <w:r>
        <w:rPr>
          <w:rFonts w:hint="eastAsia" w:ascii="方正仿宋_GBK" w:hAnsi="方正仿宋_GBK" w:eastAsia="方正仿宋_GBK" w:cs="方正仿宋_GBK"/>
          <w:b/>
          <w:bCs/>
          <w:u w:val="single"/>
          <w:shd w:val="clear" w:color="auto" w:fill="FFFFFF"/>
        </w:rPr>
        <w:t>宿迁市洋河新区公共资源交易中心</w:t>
      </w:r>
      <w:r>
        <w:rPr>
          <w:rFonts w:hint="eastAsia" w:ascii="方正仿宋_GBK" w:hAnsi="方正仿宋_GBK" w:eastAsia="方正仿宋_GBK" w:cs="方正仿宋_GBK"/>
        </w:rPr>
        <w:t>就</w:t>
      </w:r>
      <w:r>
        <w:rPr>
          <w:rFonts w:hint="eastAsia" w:ascii="方正仿宋_GBK" w:hAnsi="方正仿宋_GBK" w:eastAsia="方正仿宋_GBK" w:cs="方正仿宋_GBK"/>
          <w:b/>
          <w:bCs/>
          <w:u w:val="single"/>
          <w:shd w:val="clear" w:color="auto" w:fill="FFFFFF"/>
        </w:rPr>
        <w:t>洋河新区公办中小学后勤人员外包服务采购项目</w:t>
      </w:r>
      <w:r>
        <w:rPr>
          <w:rFonts w:hint="eastAsia" w:ascii="方正仿宋_GBK" w:hAnsi="方正仿宋_GBK" w:eastAsia="方正仿宋_GBK" w:cs="方正仿宋_GBK"/>
          <w:u w:val="single"/>
        </w:rPr>
        <w:t>([</w:t>
      </w:r>
      <w:r>
        <w:rPr>
          <w:rFonts w:hint="eastAsia" w:ascii="方正仿宋_GBK" w:hAnsi="方正仿宋_GBK" w:eastAsia="方正仿宋_GBK" w:cs="方正仿宋_GBK"/>
          <w:color w:val="0000FF"/>
          <w:u w:val="single"/>
        </w:rPr>
        <w:t>项目编号</w:t>
      </w:r>
      <w:r>
        <w:rPr>
          <w:rFonts w:hint="eastAsia" w:ascii="方正仿宋_GBK" w:hAnsi="方正仿宋_GBK" w:eastAsia="方正仿宋_GBK" w:cs="方正仿宋_GBK"/>
          <w:u w:val="single"/>
        </w:rPr>
        <w:t>])</w:t>
      </w:r>
      <w:r>
        <w:rPr>
          <w:rFonts w:hint="eastAsia" w:ascii="方正仿宋_GBK" w:hAnsi="方正仿宋_GBK" w:eastAsia="方正仿宋_GBK" w:cs="方正仿宋_GBK"/>
        </w:rPr>
        <w:t>项目进行公开招标采购，欢迎符合条件的投标人投标。</w:t>
      </w:r>
    </w:p>
    <w:p>
      <w:pPr>
        <w:pBdr>
          <w:top w:val="single" w:color="auto" w:sz="4" w:space="1"/>
          <w:left w:val="single" w:color="auto" w:sz="4" w:space="4"/>
          <w:bottom w:val="single" w:color="auto" w:sz="4" w:space="1"/>
          <w:right w:val="single" w:color="auto" w:sz="4" w:space="4"/>
        </w:pBdr>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项目概况</w:t>
      </w:r>
    </w:p>
    <w:p>
      <w:pPr>
        <w:pBdr>
          <w:top w:val="single" w:color="auto" w:sz="4" w:space="1"/>
          <w:left w:val="single" w:color="auto" w:sz="4" w:space="4"/>
          <w:bottom w:val="single" w:color="auto" w:sz="4" w:space="1"/>
          <w:right w:val="single" w:color="auto" w:sz="4" w:space="4"/>
        </w:pBdr>
        <w:ind w:firstLine="480" w:firstLineChars="200"/>
        <w:rPr>
          <w:rFonts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b/>
          <w:bCs/>
          <w:kern w:val="0"/>
          <w:sz w:val="24"/>
          <w:szCs w:val="24"/>
          <w:u w:val="single"/>
          <w:shd w:val="clear" w:color="auto" w:fill="FFFFFF"/>
        </w:rPr>
        <w:t>洋河新区公办中小学后勤人员外包服务采购项目</w:t>
      </w:r>
      <w:r>
        <w:rPr>
          <w:rFonts w:hint="eastAsia" w:ascii="方正仿宋_GBK" w:hAnsi="方正仿宋_GBK" w:eastAsia="方正仿宋_GBK" w:cs="方正仿宋_GBK"/>
          <w:sz w:val="24"/>
          <w:szCs w:val="24"/>
          <w:u w:val="single"/>
        </w:rPr>
        <w:t>)</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kern w:val="0"/>
          <w:sz w:val="24"/>
          <w:szCs w:val="24"/>
        </w:rPr>
        <w:t>招标项目的潜在投标人可在“宿迁市政府采购网”自行免费下载招标文件，并于    年  月  日    点    分（北京时间）前递交投标文件。</w:t>
      </w:r>
    </w:p>
    <w:p>
      <w:pPr>
        <w:pStyle w:val="4"/>
        <w:spacing w:before="0" w:after="0" w:line="560" w:lineRule="exact"/>
        <w:ind w:firstLine="373" w:firstLineChars="155"/>
        <w:rPr>
          <w:rFonts w:ascii="方正仿宋_GBK" w:hAnsi="方正仿宋_GBK" w:eastAsia="方正仿宋_GBK" w:cs="方正仿宋_GBK"/>
          <w:kern w:val="0"/>
          <w:sz w:val="24"/>
          <w:szCs w:val="24"/>
        </w:rPr>
      </w:pPr>
      <w:bookmarkStart w:id="5" w:name="_Toc35393790"/>
      <w:bookmarkStart w:id="6" w:name="_Toc38985263"/>
      <w:bookmarkStart w:id="7" w:name="_Toc28359079"/>
      <w:bookmarkStart w:id="8" w:name="_Toc35393621"/>
      <w:bookmarkStart w:id="9" w:name="_Toc28359002"/>
      <w:bookmarkStart w:id="10" w:name="_Hlk24379207"/>
      <w:r>
        <w:rPr>
          <w:rFonts w:hint="eastAsia" w:ascii="方正仿宋_GBK" w:hAnsi="方正仿宋_GBK" w:eastAsia="方正仿宋_GBK" w:cs="方正仿宋_GBK"/>
          <w:kern w:val="0"/>
          <w:sz w:val="24"/>
          <w:szCs w:val="24"/>
        </w:rPr>
        <w:t>一、项目基本情况</w:t>
      </w:r>
      <w:bookmarkEnd w:id="5"/>
      <w:bookmarkEnd w:id="6"/>
      <w:bookmarkEnd w:id="7"/>
      <w:bookmarkEnd w:id="8"/>
      <w:bookmarkEnd w:id="9"/>
    </w:p>
    <w:p>
      <w:pPr>
        <w:spacing w:line="50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1.项目编号：</w:t>
      </w:r>
    </w:p>
    <w:p>
      <w:pPr>
        <w:spacing w:line="50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2.项目名称：</w:t>
      </w:r>
      <w:bookmarkEnd w:id="10"/>
      <w:r>
        <w:rPr>
          <w:rFonts w:hint="eastAsia" w:ascii="方正仿宋_GBK" w:hAnsi="方正仿宋_GBK" w:eastAsia="方正仿宋_GBK" w:cs="方正仿宋_GBK"/>
          <w:kern w:val="0"/>
          <w:sz w:val="24"/>
          <w:szCs w:val="24"/>
        </w:rPr>
        <w:t>洋河新区公办中小学后勤人员外包服务采购项目</w:t>
      </w:r>
    </w:p>
    <w:p>
      <w:pPr>
        <w:spacing w:line="50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3.预算金额：164.88万元</w:t>
      </w:r>
    </w:p>
    <w:p>
      <w:pPr>
        <w:spacing w:line="50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4.本项目  设定 （设定/不设定）最高限价，最高限价为 164.88 万元。</w:t>
      </w:r>
    </w:p>
    <w:p>
      <w:pPr>
        <w:spacing w:line="50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 xml:space="preserve">5.采购需求（简介）:为保障洋河新区公办中小学(8家)教育教学工作正常开展，根据现有办学规模和学校实际，现拟将学校的保洁、宿舍管理、水电等服务进行外包，需后勤服务人员61人(其中保洁40 人、宿管 16人、水电工5人)。（详细内容见本招标文件第四章） </w:t>
      </w:r>
    </w:p>
    <w:p>
      <w:pPr>
        <w:spacing w:line="50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 xml:space="preserve">6.合同履行期限：合同生效之日起一年。 </w:t>
      </w:r>
    </w:p>
    <w:p>
      <w:pPr>
        <w:spacing w:line="50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7.本项目 不接受联合体投标（接受/不接受）。</w:t>
      </w:r>
    </w:p>
    <w:p>
      <w:pPr>
        <w:pStyle w:val="4"/>
        <w:spacing w:before="0" w:after="0" w:line="560" w:lineRule="exact"/>
        <w:ind w:firstLine="373" w:firstLineChars="155"/>
        <w:rPr>
          <w:rFonts w:ascii="方正仿宋_GBK" w:hAnsi="方正仿宋_GBK" w:eastAsia="方正仿宋_GBK" w:cs="方正仿宋_GBK"/>
          <w:kern w:val="0"/>
          <w:sz w:val="24"/>
          <w:szCs w:val="24"/>
        </w:rPr>
      </w:pPr>
      <w:bookmarkStart w:id="11" w:name="_Toc35393622"/>
      <w:bookmarkStart w:id="12" w:name="_Toc38985264"/>
      <w:bookmarkStart w:id="13" w:name="_Toc28359003"/>
      <w:bookmarkStart w:id="14" w:name="_Toc28359080"/>
      <w:bookmarkStart w:id="15" w:name="_Toc35393791"/>
      <w:r>
        <w:rPr>
          <w:rFonts w:hint="eastAsia" w:ascii="方正仿宋_GBK" w:hAnsi="方正仿宋_GBK" w:eastAsia="方正仿宋_GBK" w:cs="方正仿宋_GBK"/>
          <w:kern w:val="0"/>
          <w:sz w:val="24"/>
          <w:szCs w:val="24"/>
        </w:rPr>
        <w:t>二、申请人的资格要求：</w:t>
      </w:r>
      <w:bookmarkEnd w:id="11"/>
      <w:bookmarkEnd w:id="12"/>
      <w:bookmarkEnd w:id="13"/>
      <w:bookmarkEnd w:id="14"/>
      <w:bookmarkEnd w:id="15"/>
    </w:p>
    <w:p>
      <w:pPr>
        <w:spacing w:line="500" w:lineRule="exact"/>
        <w:ind w:firstLine="480"/>
        <w:rPr>
          <w:rFonts w:ascii="方正仿宋_GBK" w:hAnsi="方正仿宋_GBK" w:eastAsia="方正仿宋_GBK" w:cs="方正仿宋_GBK"/>
          <w:kern w:val="0"/>
          <w:sz w:val="24"/>
          <w:szCs w:val="24"/>
        </w:rPr>
      </w:pPr>
      <w:bookmarkStart w:id="16" w:name="_Toc28359004"/>
      <w:bookmarkStart w:id="17" w:name="_Toc35393792"/>
      <w:bookmarkStart w:id="18" w:name="_Toc28359081"/>
      <w:bookmarkStart w:id="19" w:name="_Toc35393623"/>
      <w:bookmarkStart w:id="20" w:name="_Toc38985265"/>
      <w:r>
        <w:rPr>
          <w:rFonts w:hint="eastAsia" w:ascii="方正仿宋_GBK" w:hAnsi="方正仿宋_GBK" w:eastAsia="方正仿宋_GBK" w:cs="方正仿宋_GBK"/>
          <w:kern w:val="0"/>
          <w:sz w:val="24"/>
          <w:szCs w:val="24"/>
        </w:rPr>
        <w:t>（一）通用资格要求</w:t>
      </w:r>
    </w:p>
    <w:p>
      <w:pPr>
        <w:spacing w:line="50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1.具备《中华人民共和国政府采购法》第二十二条第一款规定的6项条件（按要求提供投标声明及承诺函）。</w:t>
      </w:r>
    </w:p>
    <w:p>
      <w:pPr>
        <w:spacing w:line="50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 xml:space="preserve">2.信用信息。信用信息查询渠道：“信用中国”网（www.creditchina.gov.cn）、“中国政府采购”网（www.ccgp.gov.cn）、江苏政府采购网（www.ccgp-jiangsu.gov.cn）。    </w:t>
      </w:r>
    </w:p>
    <w:p>
      <w:pPr>
        <w:spacing w:line="50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信用信息的使用规则：供应商被列入失信被执行人、重大税收违法失信主体、政府采购严重违法失信行为记录名单及其他不符合《中华人民共和国政府采购法》第二十二条规定条件的供应商，将拒绝其参与政府采购活动。（投标文件中无需提供证明材料）。</w:t>
      </w:r>
    </w:p>
    <w:p>
      <w:pPr>
        <w:spacing w:line="50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落实政府采购政策需满足的资格要求：本项目为专门面向中小企业采购的项目,供应商须为中小微企业、监狱与戒毒企业、残疾人福利性单位（须提供中小企业声明函或残疾人福利性单位声明函，或监狱企业证明文件）。非中小型企业参与本项目投标，将作无效标处理。</w:t>
      </w:r>
    </w:p>
    <w:p>
      <w:pPr>
        <w:spacing w:line="50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（二）本项目的特定资格要求：无。</w:t>
      </w:r>
    </w:p>
    <w:p>
      <w:pPr>
        <w:pStyle w:val="4"/>
        <w:spacing w:before="0" w:after="0" w:line="560" w:lineRule="exact"/>
        <w:ind w:firstLine="373" w:firstLineChars="155"/>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三、获取招标文件</w:t>
      </w:r>
      <w:bookmarkEnd w:id="16"/>
      <w:bookmarkEnd w:id="17"/>
      <w:bookmarkEnd w:id="18"/>
      <w:bookmarkEnd w:id="19"/>
      <w:bookmarkEnd w:id="20"/>
    </w:p>
    <w:p>
      <w:pPr>
        <w:spacing w:line="560" w:lineRule="exact"/>
        <w:ind w:firstLine="480"/>
        <w:rPr>
          <w:rFonts w:ascii="方正仿宋_GBK" w:hAnsi="方正仿宋_GBK" w:eastAsia="方正仿宋_GBK" w:cs="方正仿宋_GBK"/>
          <w:kern w:val="0"/>
          <w:sz w:val="24"/>
          <w:szCs w:val="24"/>
        </w:rPr>
      </w:pPr>
      <w:bookmarkStart w:id="21" w:name="_Toc28359082"/>
      <w:bookmarkStart w:id="22" w:name="_Toc28359005"/>
      <w:bookmarkStart w:id="23" w:name="_Toc35393624"/>
      <w:bookmarkStart w:id="24" w:name="_Toc38985266"/>
      <w:bookmarkStart w:id="25" w:name="_Toc35393793"/>
      <w:r>
        <w:rPr>
          <w:rFonts w:hint="eastAsia" w:ascii="方正仿宋_GBK" w:hAnsi="方正仿宋_GBK" w:eastAsia="方正仿宋_GBK" w:cs="方正仿宋_GBK"/>
          <w:kern w:val="0"/>
          <w:sz w:val="24"/>
          <w:szCs w:val="24"/>
        </w:rPr>
        <w:t>1.时间：   年   月  日至</w:t>
      </w:r>
      <w:bookmarkStart w:id="26" w:name="EB4a82fe30d91a48338ebb02b9012d939c"/>
      <w:r>
        <w:rPr>
          <w:rFonts w:hint="eastAsia" w:ascii="方正仿宋_GBK" w:hAnsi="方正仿宋_GBK" w:eastAsia="方正仿宋_GBK" w:cs="方正仿宋_GBK"/>
          <w:kern w:val="0"/>
          <w:sz w:val="24"/>
          <w:szCs w:val="24"/>
        </w:rPr>
        <w:t xml:space="preserve"> </w:t>
      </w:r>
      <w:bookmarkEnd w:id="26"/>
      <w:r>
        <w:rPr>
          <w:rFonts w:hint="eastAsia" w:ascii="方正仿宋_GBK" w:hAnsi="方正仿宋_GBK" w:eastAsia="方正仿宋_GBK" w:cs="方正仿宋_GBK"/>
          <w:kern w:val="0"/>
          <w:sz w:val="24"/>
          <w:szCs w:val="24"/>
        </w:rPr>
        <w:t xml:space="preserve">   年   月  日17：30。</w:t>
      </w:r>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2.方式：投标人应在招标文件提供的时间内，通过“苏采云”系统（网址： http://jszfcg.jsczt.cn/）或宿迁市政府采购网点击“政府采购管理交易系统（苏采云）”，使用CA锁进入系统从“项目参与”--“采购项目”菜单中，找到本项目获取采购文件（后缀名为“.kedt”）。</w:t>
      </w:r>
    </w:p>
    <w:p>
      <w:pPr>
        <w:spacing w:line="560" w:lineRule="exact"/>
        <w:ind w:firstLine="480"/>
        <w:rPr>
          <w:rFonts w:ascii="方正仿宋_GBK" w:hAnsi="方正仿宋_GBK" w:eastAsia="方正仿宋_GBK" w:cs="方正仿宋_GBK"/>
          <w:kern w:val="0"/>
          <w:sz w:val="24"/>
          <w:szCs w:val="24"/>
        </w:rPr>
      </w:pPr>
      <w:bookmarkStart w:id="27" w:name="EB0c44ff4da61f4af989d119fe214be450"/>
      <w:r>
        <w:rPr>
          <w:rFonts w:hint="eastAsia" w:ascii="方正仿宋_GBK" w:hAnsi="方正仿宋_GBK" w:eastAsia="方正仿宋_GBK" w:cs="方正仿宋_GBK"/>
          <w:kern w:val="0"/>
          <w:sz w:val="24"/>
          <w:szCs w:val="24"/>
        </w:rPr>
        <w:t>3.本项目共分一个包。投标人参与多个包投标的，应按包分别获取招标文件。投标人未按要求获取招标文件导致无法投标的，后果自负（其投标文件不予接受）。</w:t>
      </w:r>
      <w:bookmarkEnd w:id="27"/>
    </w:p>
    <w:p>
      <w:pPr>
        <w:pStyle w:val="4"/>
        <w:spacing w:before="0" w:after="0" w:line="560" w:lineRule="exact"/>
        <w:ind w:firstLine="373" w:firstLineChars="155"/>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四、提交投标文件</w:t>
      </w:r>
      <w:bookmarkEnd w:id="21"/>
      <w:bookmarkEnd w:id="22"/>
      <w:r>
        <w:rPr>
          <w:rFonts w:hint="eastAsia" w:ascii="方正仿宋_GBK" w:hAnsi="方正仿宋_GBK" w:eastAsia="方正仿宋_GBK" w:cs="方正仿宋_GBK"/>
          <w:kern w:val="0"/>
          <w:sz w:val="24"/>
          <w:szCs w:val="24"/>
        </w:rPr>
        <w:t>截止时间、开标时间和地点</w:t>
      </w:r>
      <w:bookmarkEnd w:id="23"/>
      <w:bookmarkEnd w:id="24"/>
      <w:bookmarkEnd w:id="25"/>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1.提交投标文件截止时间、开标时间：    年   月   日   点   分（北京时间）</w:t>
      </w:r>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2.地点：“苏采云”政府采购交易系统网上开标大厅。</w:t>
      </w:r>
    </w:p>
    <w:p>
      <w:pPr>
        <w:pStyle w:val="4"/>
        <w:spacing w:before="0" w:after="0" w:line="560" w:lineRule="exact"/>
        <w:ind w:firstLine="373" w:firstLineChars="155"/>
        <w:rPr>
          <w:rFonts w:ascii="方正仿宋_GBK" w:hAnsi="方正仿宋_GBK" w:eastAsia="方正仿宋_GBK" w:cs="方正仿宋_GBK"/>
          <w:kern w:val="0"/>
          <w:sz w:val="24"/>
          <w:szCs w:val="24"/>
        </w:rPr>
      </w:pPr>
      <w:bookmarkStart w:id="28" w:name="_Toc38985267"/>
      <w:bookmarkStart w:id="29" w:name="_Toc35393794"/>
      <w:bookmarkStart w:id="30" w:name="_Toc35393625"/>
      <w:bookmarkStart w:id="31" w:name="_Toc28359084"/>
      <w:bookmarkStart w:id="32" w:name="_Toc28359007"/>
      <w:r>
        <w:rPr>
          <w:rFonts w:hint="eastAsia" w:ascii="方正仿宋_GBK" w:hAnsi="方正仿宋_GBK" w:eastAsia="方正仿宋_GBK" w:cs="方正仿宋_GBK"/>
          <w:kern w:val="0"/>
          <w:sz w:val="24"/>
          <w:szCs w:val="24"/>
        </w:rPr>
        <w:t>五、公告期限</w:t>
      </w:r>
      <w:bookmarkEnd w:id="28"/>
      <w:bookmarkEnd w:id="29"/>
      <w:bookmarkEnd w:id="30"/>
      <w:bookmarkEnd w:id="31"/>
      <w:bookmarkEnd w:id="32"/>
    </w:p>
    <w:p>
      <w:pPr>
        <w:spacing w:line="560" w:lineRule="exact"/>
        <w:ind w:firstLine="480"/>
        <w:rPr>
          <w:rFonts w:ascii="方正仿宋_GBK" w:hAnsi="方正仿宋_GBK" w:eastAsia="方正仿宋_GBK" w:cs="方正仿宋_GBK"/>
          <w:kern w:val="0"/>
          <w:sz w:val="24"/>
          <w:szCs w:val="24"/>
        </w:rPr>
      </w:pPr>
      <w:bookmarkStart w:id="33" w:name="_Toc35393626"/>
      <w:bookmarkStart w:id="34" w:name="_Toc38985268"/>
      <w:bookmarkStart w:id="35" w:name="_Toc35393795"/>
      <w:r>
        <w:rPr>
          <w:rFonts w:hint="eastAsia" w:ascii="方正仿宋_GBK" w:hAnsi="方正仿宋_GBK" w:eastAsia="方正仿宋_GBK" w:cs="方正仿宋_GBK"/>
          <w:kern w:val="0"/>
          <w:sz w:val="24"/>
          <w:szCs w:val="24"/>
        </w:rPr>
        <w:t>招标公告及招标文件公告期限为自本公告发布之日起5个工作日。招标公告发布媒体：宿迁市政府采购网、宿迁市公共资源交易平台、江苏省财政部门指定的媒体。</w:t>
      </w:r>
    </w:p>
    <w:p>
      <w:pPr>
        <w:pStyle w:val="4"/>
        <w:spacing w:before="0" w:after="0" w:line="560" w:lineRule="exact"/>
        <w:ind w:firstLine="373" w:firstLineChars="155"/>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六、其他补充事宜</w:t>
      </w:r>
      <w:bookmarkEnd w:id="33"/>
      <w:bookmarkEnd w:id="34"/>
      <w:bookmarkEnd w:id="35"/>
    </w:p>
    <w:p>
      <w:pPr>
        <w:spacing w:line="560" w:lineRule="exact"/>
        <w:ind w:firstLine="480"/>
        <w:rPr>
          <w:rFonts w:ascii="方正仿宋_GBK" w:hAnsi="方正仿宋_GBK" w:eastAsia="方正仿宋_GBK" w:cs="方正仿宋_GBK"/>
          <w:kern w:val="0"/>
          <w:sz w:val="24"/>
          <w:szCs w:val="24"/>
        </w:rPr>
      </w:pPr>
      <w:bookmarkStart w:id="36" w:name="EB64e1f522fd8c43fcb4d3ba471386b3e7"/>
      <w:bookmarkStart w:id="37" w:name="_Toc35393627"/>
      <w:bookmarkStart w:id="38" w:name="_Toc38985269"/>
      <w:bookmarkStart w:id="39" w:name="_Toc35393796"/>
      <w:bookmarkStart w:id="40" w:name="_Toc28359008"/>
      <w:bookmarkStart w:id="41" w:name="_Toc28359085"/>
      <w:r>
        <w:rPr>
          <w:rFonts w:hint="eastAsia" w:ascii="方正仿宋_GBK" w:hAnsi="方正仿宋_GBK" w:eastAsia="方正仿宋_GBK" w:cs="方正仿宋_GBK"/>
          <w:kern w:val="0"/>
          <w:sz w:val="24"/>
          <w:szCs w:val="24"/>
        </w:rPr>
        <w:t>1.财政部门监督电话：0527-82668207。</w:t>
      </w:r>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2.“CA”数字证书办理：“苏采云”系统目前仅支持“苏采云”系统下的意源CA。省内各地区办理的“苏采云”系统下的意源CA全省通用。宿迁地区CA数字证书办理联系方式：18762803891。</w:t>
      </w:r>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3.宿迁地区“苏采云”技术支持客服电话：0527-84225125、0519-86722806。</w:t>
      </w:r>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4.如果投标人通过苏采云系统参与政府采购项目，相关操作手册详见链接：http://www.ccgp-jiangsu.gov.cn/jiangsu/zlxz/ee/ee3a4bc5a3454aa2b0d9312230633ce9.html。</w:t>
      </w:r>
    </w:p>
    <w:bookmarkEnd w:id="36"/>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 xml:space="preserve">5.现场勘察及答疑：本项目不组织集中勘察及答疑，投标人如对采购需求有疑问，请咨询采购单位联系人。 </w:t>
      </w:r>
    </w:p>
    <w:p>
      <w:pPr>
        <w:pStyle w:val="4"/>
        <w:spacing w:before="0" w:after="0" w:line="560" w:lineRule="exact"/>
        <w:ind w:firstLine="373" w:firstLineChars="155"/>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七、本次招标联系方式</w:t>
      </w:r>
      <w:bookmarkEnd w:id="37"/>
      <w:bookmarkEnd w:id="38"/>
      <w:bookmarkEnd w:id="39"/>
      <w:bookmarkEnd w:id="40"/>
      <w:bookmarkEnd w:id="41"/>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1.采购人信息</w:t>
      </w:r>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名 称：</w:t>
      </w:r>
      <w:bookmarkStart w:id="42" w:name="EB1ff633e75df84747a21e47b67129b3f1"/>
      <w:r>
        <w:rPr>
          <w:rFonts w:hint="eastAsia" w:ascii="方正仿宋_GBK" w:hAnsi="方正仿宋_GBK" w:eastAsia="方正仿宋_GBK" w:cs="方正仿宋_GBK"/>
          <w:kern w:val="0"/>
          <w:sz w:val="24"/>
          <w:szCs w:val="24"/>
        </w:rPr>
        <w:t>宿迁市洋河新区教育工作领导小组办公室</w:t>
      </w:r>
      <w:bookmarkEnd w:id="42"/>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地址：洋河人民医院对面洋河旅游集散中心教育办　</w:t>
      </w:r>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联系人：</w:t>
      </w:r>
      <w:r>
        <w:rPr>
          <w:rFonts w:hint="eastAsia" w:ascii="方正仿宋_GBK" w:hAnsi="方正仿宋_GBK" w:eastAsia="方正仿宋_GBK" w:cs="方正仿宋_GBK"/>
          <w:sz w:val="24"/>
          <w:szCs w:val="24"/>
        </w:rPr>
        <w:t xml:space="preserve">王其兵 </w:t>
      </w:r>
      <w:r>
        <w:rPr>
          <w:rFonts w:hint="eastAsia" w:ascii="方正仿宋_GBK" w:hAnsi="方正仿宋_GBK" w:eastAsia="方正仿宋_GBK" w:cs="方正仿宋_GBK"/>
          <w:kern w:val="0"/>
          <w:sz w:val="24"/>
          <w:szCs w:val="24"/>
        </w:rPr>
        <w:t xml:space="preserve">    </w:t>
      </w:r>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联系方式：</w:t>
      </w:r>
      <w:bookmarkStart w:id="43" w:name="_Toc28359086"/>
      <w:bookmarkStart w:id="44" w:name="_Toc28359009"/>
      <w:r>
        <w:rPr>
          <w:rFonts w:ascii="方正仿宋_GBK" w:hAnsi="方正仿宋_GBK" w:eastAsia="方正仿宋_GBK" w:cs="方正仿宋_GBK"/>
          <w:kern w:val="0"/>
          <w:sz w:val="24"/>
          <w:szCs w:val="24"/>
        </w:rPr>
        <w:t>0527-82668108</w:t>
      </w:r>
      <w:r>
        <w:rPr>
          <w:rFonts w:hint="eastAsia" w:ascii="方正仿宋_GBK" w:hAnsi="方正仿宋_GBK" w:eastAsia="方正仿宋_GBK" w:cs="方正仿宋_GBK"/>
          <w:kern w:val="0"/>
          <w:sz w:val="24"/>
          <w:szCs w:val="24"/>
        </w:rPr>
        <w:t xml:space="preserve">　      </w:t>
      </w:r>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w:t>
      </w:r>
      <w:bookmarkEnd w:id="43"/>
      <w:bookmarkEnd w:id="44"/>
      <w:r>
        <w:rPr>
          <w:rFonts w:hint="eastAsia" w:ascii="方正仿宋_GBK" w:hAnsi="方正仿宋_GBK" w:eastAsia="方正仿宋_GBK" w:cs="方正仿宋_GBK"/>
          <w:kern w:val="0"/>
          <w:sz w:val="24"/>
          <w:szCs w:val="24"/>
        </w:rPr>
        <w:t>采购代理机构信息</w:t>
      </w:r>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名 称：宿迁市洋河新区公共资源交易中心　</w:t>
      </w:r>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地　址：宿迁市洋河新区兴洋东路北侧创意包装产业园二楼</w:t>
      </w:r>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 xml:space="preserve">联系人：马珂        </w:t>
      </w:r>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联系方式：</w:t>
      </w:r>
      <w:bookmarkStart w:id="45" w:name="_Toc28359087"/>
      <w:bookmarkStart w:id="46" w:name="_Toc28359010"/>
      <w:r>
        <w:rPr>
          <w:rFonts w:hint="eastAsia" w:ascii="方正仿宋_GBK" w:hAnsi="方正仿宋_GBK" w:eastAsia="方正仿宋_GBK" w:cs="方正仿宋_GBK"/>
          <w:kern w:val="0"/>
          <w:sz w:val="24"/>
          <w:szCs w:val="24"/>
        </w:rPr>
        <w:t>0527-82668030　　</w:t>
      </w:r>
    </w:p>
    <w:bookmarkEnd w:id="45"/>
    <w:bookmarkEnd w:id="46"/>
    <w:p>
      <w:pPr>
        <w:pStyle w:val="4"/>
        <w:spacing w:before="0" w:after="0" w:line="560" w:lineRule="exact"/>
        <w:ind w:firstLine="373" w:firstLineChars="155"/>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八、其他</w:t>
      </w:r>
    </w:p>
    <w:p>
      <w:pPr>
        <w:spacing w:line="560" w:lineRule="exact"/>
        <w:ind w:firstLine="48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1、有关本次招标的事项若存在变动或修改，敬请及时关注“宿迁市政府采购网”等平台更正公告。</w:t>
      </w:r>
    </w:p>
    <w:p>
      <w:pPr>
        <w:pStyle w:val="3"/>
        <w:rPr>
          <w:rFonts w:ascii="Times New Roman" w:hAnsi="Times New Roman" w:eastAsia="黑体"/>
          <w:b w:val="0"/>
          <w:bCs w:val="0"/>
        </w:rPr>
      </w:pPr>
      <w:bookmarkStart w:id="47" w:name="_Toc120614211"/>
      <w:bookmarkStart w:id="48" w:name="_Toc8550"/>
      <w:bookmarkStart w:id="49" w:name="_Toc21246"/>
      <w:r>
        <w:rPr>
          <w:rFonts w:hint="eastAsia" w:ascii="Times New Roman" w:hAnsi="Times New Roman" w:eastAsia="黑体"/>
        </w:rPr>
        <w:t xml:space="preserve">第二章  </w:t>
      </w:r>
      <w:bookmarkEnd w:id="47"/>
      <w:bookmarkStart w:id="50" w:name="_Toc20823274"/>
      <w:bookmarkStart w:id="51" w:name="_Toc513029202"/>
      <w:bookmarkStart w:id="52" w:name="_Toc16938518"/>
      <w:bookmarkStart w:id="53" w:name="_Toc120614213"/>
      <w:r>
        <w:rPr>
          <w:rFonts w:hint="eastAsia" w:ascii="Times New Roman" w:hAnsi="Times New Roman" w:eastAsia="黑体"/>
        </w:rPr>
        <w:t>投标人须知</w:t>
      </w:r>
      <w:bookmarkEnd w:id="48"/>
      <w:bookmarkEnd w:id="49"/>
      <w:bookmarkEnd w:id="50"/>
      <w:bookmarkEnd w:id="51"/>
      <w:bookmarkEnd w:id="52"/>
      <w:bookmarkEnd w:id="53"/>
    </w:p>
    <w:p>
      <w:pPr>
        <w:pStyle w:val="3"/>
        <w:keepNext w:val="0"/>
        <w:keepLines w:val="0"/>
        <w:spacing w:line="413" w:lineRule="auto"/>
        <w:jc w:val="both"/>
        <w:rPr>
          <w:rFonts w:ascii="宋体" w:hAnsi="宋体" w:eastAsia="宋体" w:cs="宋体"/>
          <w:bCs w:val="0"/>
          <w:kern w:val="0"/>
          <w:sz w:val="32"/>
          <w:szCs w:val="20"/>
          <w:highlight w:val="white"/>
        </w:rPr>
      </w:pPr>
      <w:bookmarkStart w:id="54" w:name="_Toc81575191"/>
      <w:bookmarkStart w:id="55" w:name="_Toc29262"/>
      <w:bookmarkStart w:id="56" w:name="_Toc81575154"/>
      <w:bookmarkStart w:id="57" w:name="_Toc513029203"/>
      <w:bookmarkStart w:id="58" w:name="_Toc20823275"/>
      <w:bookmarkStart w:id="59" w:name="_Toc120614214"/>
      <w:bookmarkStart w:id="60" w:name="_Toc16938519"/>
      <w:r>
        <w:rPr>
          <w:rFonts w:hint="eastAsia" w:ascii="宋体" w:hAnsi="宋体" w:eastAsia="宋体" w:cs="宋体"/>
          <w:bCs w:val="0"/>
          <w:kern w:val="0"/>
          <w:sz w:val="32"/>
          <w:szCs w:val="20"/>
          <w:highlight w:val="white"/>
        </w:rPr>
        <w:t>投标人须知前附表：</w:t>
      </w:r>
      <w:bookmarkEnd w:id="54"/>
      <w:bookmarkEnd w:id="55"/>
      <w:bookmarkEnd w:id="56"/>
    </w:p>
    <w:tbl>
      <w:tblPr>
        <w:tblStyle w:val="4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315"/>
        <w:gridCol w:w="5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959" w:type="dxa"/>
            <w:vAlign w:val="center"/>
          </w:tcPr>
          <w:p>
            <w:pPr>
              <w:jc w:val="cente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highlight w:val="white"/>
              </w:rPr>
              <w:t>序号</w:t>
            </w:r>
          </w:p>
        </w:tc>
        <w:tc>
          <w:tcPr>
            <w:tcW w:w="2315" w:type="dxa"/>
            <w:vAlign w:val="center"/>
          </w:tcPr>
          <w:p>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highlight w:val="white"/>
              </w:rPr>
              <w:t>内容</w:t>
            </w:r>
          </w:p>
        </w:tc>
        <w:tc>
          <w:tcPr>
            <w:tcW w:w="5786" w:type="dxa"/>
            <w:vAlign w:val="center"/>
          </w:tcPr>
          <w:p>
            <w:pPr>
              <w:jc w:val="cente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highlight w:val="white"/>
              </w:rPr>
              <w:t>说明及要求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ascii="方正仿宋_GBK" w:hAnsi="方正仿宋_GBK" w:eastAsia="方正仿宋_GBK" w:cs="方正仿宋_GBK"/>
                <w:sz w:val="24"/>
                <w:szCs w:val="24"/>
                <w:highlight w:val="white"/>
              </w:rPr>
            </w:pPr>
            <w:r>
              <w:rPr>
                <w:rFonts w:hint="eastAsia" w:ascii="方正仿宋_GBK" w:hAnsi="方正仿宋_GBK" w:eastAsia="方正仿宋_GBK" w:cs="方正仿宋_GBK"/>
                <w:sz w:val="24"/>
                <w:szCs w:val="24"/>
                <w:highlight w:val="white"/>
              </w:rPr>
              <w:t>1</w:t>
            </w:r>
          </w:p>
        </w:tc>
        <w:tc>
          <w:tcPr>
            <w:tcW w:w="2315"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特别说明</w:t>
            </w:r>
          </w:p>
        </w:tc>
        <w:tc>
          <w:tcPr>
            <w:tcW w:w="5786" w:type="dxa"/>
            <w:vAlign w:val="center"/>
          </w:tcPr>
          <w:p>
            <w:pPr>
              <w:spacing w:line="500" w:lineRule="exact"/>
              <w:rPr>
                <w:rFonts w:ascii="方正仿宋_GBK" w:hAnsi="方正仿宋_GBK" w:eastAsia="方正仿宋_GBK" w:cs="方正仿宋_GBK"/>
              </w:rPr>
            </w:pPr>
            <w:r>
              <w:rPr>
                <w:rFonts w:hint="eastAsia" w:ascii="方正仿宋_GBK" w:hAnsi="方正仿宋_GBK" w:eastAsia="方正仿宋_GBK" w:cs="方正仿宋_GBK"/>
                <w:sz w:val="24"/>
                <w:szCs w:val="24"/>
                <w:highlight w:val="white"/>
              </w:rPr>
              <w:t>本招标文件中“当地公共资源交易中心”是指：</w:t>
            </w:r>
            <w:bookmarkStart w:id="61" w:name="EB12b2d41f40b34f7a8d6fc2ffc7e97a46"/>
            <w:r>
              <w:rPr>
                <w:rFonts w:hint="eastAsia" w:ascii="方正仿宋_GBK" w:hAnsi="方正仿宋_GBK" w:eastAsia="方正仿宋_GBK" w:cs="方正仿宋_GBK"/>
                <w:sz w:val="24"/>
                <w:szCs w:val="24"/>
                <w:highlight w:val="white"/>
              </w:rPr>
              <w:t>宿迁市洋河新区公共资源交易中心</w:t>
            </w:r>
            <w:bookmarkEnd w:id="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ascii="方正仿宋_GBK" w:hAnsi="方正仿宋_GBK" w:eastAsia="方正仿宋_GBK" w:cs="方正仿宋_GBK"/>
                <w:sz w:val="24"/>
                <w:szCs w:val="24"/>
                <w:highlight w:val="white"/>
              </w:rPr>
            </w:pPr>
            <w:r>
              <w:rPr>
                <w:rFonts w:hint="eastAsia" w:ascii="方正仿宋_GBK" w:hAnsi="方正仿宋_GBK" w:eastAsia="方正仿宋_GBK" w:cs="方正仿宋_GBK"/>
                <w:sz w:val="24"/>
                <w:szCs w:val="24"/>
                <w:highlight w:val="white"/>
              </w:rPr>
              <w:t>2</w:t>
            </w:r>
          </w:p>
        </w:tc>
        <w:tc>
          <w:tcPr>
            <w:tcW w:w="2315"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项目类别</w:t>
            </w:r>
          </w:p>
        </w:tc>
        <w:tc>
          <w:tcPr>
            <w:tcW w:w="5786" w:type="dxa"/>
            <w:vAlign w:val="center"/>
          </w:tcPr>
          <w:p>
            <w:pPr>
              <w:spacing w:line="5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white"/>
              </w:rPr>
              <w:t>本项目</w:t>
            </w:r>
            <w:bookmarkStart w:id="62" w:name="EB9a5853ee094f4f0ea6ec3169265f6f2c"/>
            <w:r>
              <w:rPr>
                <w:rFonts w:hint="eastAsia" w:ascii="方正仿宋_GBK" w:hAnsi="方正仿宋_GBK" w:eastAsia="方正仿宋_GBK" w:cs="方正仿宋_GBK"/>
                <w:sz w:val="24"/>
                <w:szCs w:val="24"/>
                <w:highlight w:val="white"/>
              </w:rPr>
              <w:t>属性按以下第</w:t>
            </w:r>
            <w:r>
              <w:rPr>
                <w:rFonts w:hint="eastAsia" w:ascii="方正仿宋_GBK" w:hAnsi="方正仿宋_GBK" w:eastAsia="方正仿宋_GBK" w:cs="方正仿宋_GBK"/>
                <w:sz w:val="24"/>
                <w:szCs w:val="24"/>
                <w:highlight w:val="white"/>
                <w:u w:val="single"/>
              </w:rPr>
              <w:t>2</w:t>
            </w:r>
            <w:r>
              <w:rPr>
                <w:rFonts w:hint="eastAsia" w:ascii="方正仿宋_GBK" w:hAnsi="方正仿宋_GBK" w:eastAsia="方正仿宋_GBK" w:cs="方正仿宋_GBK"/>
                <w:sz w:val="24"/>
                <w:szCs w:val="24"/>
                <w:highlight w:val="white"/>
              </w:rPr>
              <w:t>种确定：1</w:t>
            </w:r>
            <w:bookmarkEnd w:id="62"/>
            <w:r>
              <w:rPr>
                <w:rFonts w:hint="eastAsia" w:ascii="方正仿宋_GBK" w:hAnsi="方正仿宋_GBK" w:eastAsia="方正仿宋_GBK" w:cs="方正仿宋_GBK"/>
                <w:sz w:val="24"/>
                <w:szCs w:val="24"/>
                <w:highlight w:val="white"/>
              </w:rPr>
              <w:t>.货物</w:t>
            </w:r>
            <w:bookmarkStart w:id="63" w:name="EBd5c6c026f9674c39b21b31ecd0c1e7fa"/>
            <w:r>
              <w:rPr>
                <w:rFonts w:hint="eastAsia" w:ascii="方正仿宋_GBK" w:hAnsi="方正仿宋_GBK" w:eastAsia="方正仿宋_GBK" w:cs="方正仿宋_GBK"/>
                <w:sz w:val="24"/>
                <w:szCs w:val="24"/>
                <w:highlight w:val="white"/>
              </w:rPr>
              <w:t>采购；2.</w:t>
            </w:r>
            <w:bookmarkEnd w:id="63"/>
            <w:r>
              <w:rPr>
                <w:rFonts w:hint="eastAsia" w:ascii="方正仿宋_GBK" w:hAnsi="方正仿宋_GBK" w:eastAsia="方正仿宋_GBK" w:cs="方正仿宋_GBK"/>
                <w:sz w:val="24"/>
                <w:szCs w:val="24"/>
                <w:highlight w:val="white"/>
              </w:rPr>
              <w:t>服务</w:t>
            </w:r>
            <w:bookmarkStart w:id="64" w:name="EBf7d2a4f44ecb4166a93ea852e73be69f"/>
            <w:r>
              <w:rPr>
                <w:rFonts w:hint="eastAsia" w:ascii="方正仿宋_GBK" w:hAnsi="方正仿宋_GBK" w:eastAsia="方正仿宋_GBK" w:cs="方正仿宋_GBK"/>
                <w:sz w:val="24"/>
                <w:szCs w:val="24"/>
                <w:highlight w:val="white"/>
              </w:rPr>
              <w:t>采购；3.</w:t>
            </w:r>
            <w:bookmarkEnd w:id="64"/>
            <w:r>
              <w:rPr>
                <w:rFonts w:hint="eastAsia" w:ascii="方正仿宋_GBK" w:hAnsi="方正仿宋_GBK" w:eastAsia="方正仿宋_GBK" w:cs="方正仿宋_GBK"/>
                <w:sz w:val="24"/>
                <w:szCs w:val="24"/>
                <w:highlight w:val="white"/>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w:t>
            </w:r>
          </w:p>
        </w:tc>
        <w:tc>
          <w:tcPr>
            <w:tcW w:w="2315" w:type="dxa"/>
            <w:vAlign w:val="center"/>
          </w:tcPr>
          <w:p>
            <w:pPr>
              <w:jc w:val="center"/>
              <w:rPr>
                <w:rFonts w:ascii="方正仿宋_GBK" w:hAnsi="方正仿宋_GBK" w:eastAsia="方正仿宋_GBK" w:cs="方正仿宋_GBK"/>
                <w:sz w:val="24"/>
                <w:szCs w:val="24"/>
                <w:highlight w:val="white"/>
              </w:rPr>
            </w:pPr>
            <w:r>
              <w:rPr>
                <w:rFonts w:hint="eastAsia" w:ascii="方正仿宋_GBK" w:hAnsi="方正仿宋_GBK" w:eastAsia="方正仿宋_GBK" w:cs="方正仿宋_GBK"/>
                <w:sz w:val="24"/>
                <w:szCs w:val="24"/>
                <w:highlight w:val="white"/>
              </w:rPr>
              <w:t>投标有效期</w:t>
            </w:r>
          </w:p>
        </w:tc>
        <w:tc>
          <w:tcPr>
            <w:tcW w:w="5786" w:type="dxa"/>
            <w:vAlign w:val="center"/>
          </w:tcPr>
          <w:p>
            <w:pPr>
              <w:widowControl/>
              <w:spacing w:line="360" w:lineRule="exact"/>
              <w:rPr>
                <w:rFonts w:ascii="方正仿宋_GBK" w:hAnsi="方正仿宋_GBK" w:eastAsia="方正仿宋_GBK" w:cs="方正仿宋_GBK"/>
                <w:sz w:val="24"/>
                <w:szCs w:val="24"/>
                <w:highlight w:val="white"/>
              </w:rPr>
            </w:pPr>
            <w:bookmarkStart w:id="65" w:name="EBd40b5fb42f2944a3b45e579ce3941f02"/>
            <w:bookmarkEnd w:id="65"/>
            <w:r>
              <w:rPr>
                <w:rFonts w:hint="eastAsia" w:ascii="方正仿宋_GBK" w:hAnsi="方正仿宋_GBK" w:eastAsia="方正仿宋_GBK" w:cs="方正仿宋_GBK"/>
                <w:sz w:val="24"/>
                <w:szCs w:val="24"/>
                <w:highlight w:val="white"/>
              </w:rPr>
              <w:t>60日（从提交投标文件截止之日起算）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white"/>
              </w:rPr>
              <w:t>4</w:t>
            </w:r>
          </w:p>
        </w:tc>
        <w:tc>
          <w:tcPr>
            <w:tcW w:w="2315"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white"/>
              </w:rPr>
              <w:t>投标文件份数</w:t>
            </w:r>
          </w:p>
        </w:tc>
        <w:tc>
          <w:tcPr>
            <w:tcW w:w="5786" w:type="dxa"/>
            <w:vAlign w:val="center"/>
          </w:tcPr>
          <w:p>
            <w:pPr>
              <w:widowControl/>
              <w:spacing w:line="36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white"/>
              </w:rPr>
              <w:t>提交加密电子投标文件1份。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white"/>
              </w:rPr>
              <w:t>5</w:t>
            </w:r>
          </w:p>
        </w:tc>
        <w:tc>
          <w:tcPr>
            <w:tcW w:w="2315"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white"/>
              </w:rPr>
              <w:t>开标</w:t>
            </w:r>
          </w:p>
        </w:tc>
        <w:tc>
          <w:tcPr>
            <w:tcW w:w="5786" w:type="dxa"/>
            <w:vAlign w:val="center"/>
          </w:tcPr>
          <w:p>
            <w:pPr>
              <w:widowControl/>
              <w:spacing w:line="36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white"/>
              </w:rPr>
              <w:t>“苏采云”政府采购交易系统网上开标大厅进行不见面开标。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ascii="方正仿宋_GBK" w:hAnsi="方正仿宋_GBK" w:eastAsia="方正仿宋_GBK" w:cs="方正仿宋_GBK"/>
                <w:sz w:val="24"/>
                <w:szCs w:val="24"/>
                <w:highlight w:val="white"/>
              </w:rPr>
            </w:pPr>
            <w:r>
              <w:rPr>
                <w:rFonts w:hint="eastAsia" w:ascii="方正仿宋_GBK" w:hAnsi="方正仿宋_GBK" w:eastAsia="方正仿宋_GBK" w:cs="方正仿宋_GBK"/>
                <w:sz w:val="24"/>
                <w:szCs w:val="24"/>
                <w:highlight w:val="white"/>
              </w:rPr>
              <w:t>6</w:t>
            </w:r>
          </w:p>
        </w:tc>
        <w:tc>
          <w:tcPr>
            <w:tcW w:w="2315" w:type="dxa"/>
            <w:vAlign w:val="center"/>
          </w:tcPr>
          <w:p>
            <w:pPr>
              <w:jc w:val="center"/>
              <w:rPr>
                <w:rFonts w:ascii="方正仿宋_GBK" w:hAnsi="方正仿宋_GBK" w:eastAsia="方正仿宋_GBK" w:cs="方正仿宋_GBK"/>
                <w:sz w:val="24"/>
                <w:szCs w:val="24"/>
                <w:highlight w:val="white"/>
              </w:rPr>
            </w:pPr>
            <w:r>
              <w:rPr>
                <w:rFonts w:hint="eastAsia" w:ascii="方正仿宋_GBK" w:hAnsi="方正仿宋_GBK" w:eastAsia="方正仿宋_GBK" w:cs="方正仿宋_GBK"/>
                <w:sz w:val="24"/>
                <w:szCs w:val="24"/>
                <w:highlight w:val="white"/>
              </w:rPr>
              <w:t>进口产品</w:t>
            </w:r>
          </w:p>
        </w:tc>
        <w:tc>
          <w:tcPr>
            <w:tcW w:w="5786" w:type="dxa"/>
            <w:vAlign w:val="center"/>
          </w:tcPr>
          <w:p>
            <w:pPr>
              <w:widowControl/>
              <w:spacing w:line="360" w:lineRule="exact"/>
              <w:rPr>
                <w:rFonts w:ascii="方正仿宋_GBK" w:hAnsi="方正仿宋_GBK" w:eastAsia="方正仿宋_GBK" w:cs="方正仿宋_GBK"/>
                <w:sz w:val="24"/>
                <w:szCs w:val="24"/>
                <w:highlight w:val="white"/>
              </w:rPr>
            </w:pPr>
            <w:r>
              <w:rPr>
                <w:rFonts w:hint="eastAsia" w:ascii="方正仿宋_GBK" w:hAnsi="方正仿宋_GBK" w:eastAsia="方正仿宋_GBK" w:cs="方正仿宋_GBK"/>
                <w:sz w:val="24"/>
                <w:szCs w:val="24"/>
                <w:highlight w:val="white"/>
              </w:rPr>
              <w:t>按以下第  2  种方式确定：1.接受进口产品。应当符合《政府采购进口产品管理办法》(财库(2007)119 号文)、《关于政府采购进口产品管理有关问题的通知》(财办库(2008)248号文)等相关规定;2.不接受进口产品。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white"/>
              </w:rPr>
              <w:t>7</w:t>
            </w:r>
          </w:p>
        </w:tc>
        <w:tc>
          <w:tcPr>
            <w:tcW w:w="2315"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white"/>
              </w:rPr>
              <w:t>评标办法</w:t>
            </w:r>
          </w:p>
        </w:tc>
        <w:tc>
          <w:tcPr>
            <w:tcW w:w="5786" w:type="dxa"/>
            <w:vAlign w:val="center"/>
          </w:tcPr>
          <w:p>
            <w:pPr>
              <w:widowControl/>
              <w:spacing w:line="36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white"/>
              </w:rPr>
              <w:t>具体评标办法详见招标文件第三部分。</w:t>
            </w:r>
          </w:p>
          <w:p>
            <w:pPr>
              <w:widowControl/>
              <w:spacing w:line="360" w:lineRule="exact"/>
              <w:rPr>
                <w:rFonts w:ascii="方正仿宋_GBK" w:hAnsi="方正仿宋_GBK" w:eastAsia="方正仿宋_GBK" w:cs="方正仿宋_GBK"/>
                <w:sz w:val="24"/>
                <w:szCs w:val="24"/>
                <w:highlight w:val="white"/>
              </w:rPr>
            </w:pPr>
            <w:r>
              <w:rPr>
                <w:rFonts w:hint="eastAsia" w:ascii="方正仿宋_GBK" w:hAnsi="方正仿宋_GBK" w:eastAsia="方正仿宋_GBK" w:cs="方正仿宋_GBK"/>
                <w:sz w:val="24"/>
                <w:szCs w:val="24"/>
                <w:highlight w:val="white"/>
              </w:rPr>
              <w:t>评标委员会按照招标文件规定评标办法和标准推荐1-3名中标候选人。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ascii="方正仿宋_GBK" w:hAnsi="方正仿宋_GBK" w:eastAsia="方正仿宋_GBK" w:cs="方正仿宋_GBK"/>
                <w:sz w:val="24"/>
                <w:szCs w:val="24"/>
                <w:highlight w:val="white"/>
              </w:rPr>
            </w:pPr>
            <w:r>
              <w:rPr>
                <w:rFonts w:hint="eastAsia" w:ascii="方正仿宋_GBK" w:hAnsi="方正仿宋_GBK" w:eastAsia="方正仿宋_GBK" w:cs="方正仿宋_GBK"/>
                <w:sz w:val="24"/>
                <w:szCs w:val="24"/>
                <w:highlight w:val="white"/>
              </w:rPr>
              <w:t>8</w:t>
            </w:r>
          </w:p>
        </w:tc>
        <w:tc>
          <w:tcPr>
            <w:tcW w:w="2315" w:type="dxa"/>
            <w:vAlign w:val="center"/>
          </w:tcPr>
          <w:p>
            <w:pPr>
              <w:jc w:val="center"/>
              <w:rPr>
                <w:rFonts w:ascii="方正仿宋_GBK" w:hAnsi="方正仿宋_GBK" w:eastAsia="方正仿宋_GBK" w:cs="方正仿宋_GBK"/>
                <w:sz w:val="24"/>
                <w:szCs w:val="24"/>
                <w:highlight w:val="white"/>
              </w:rPr>
            </w:pPr>
            <w:r>
              <w:rPr>
                <w:rFonts w:hint="eastAsia" w:ascii="方正仿宋_GBK" w:hAnsi="方正仿宋_GBK" w:eastAsia="方正仿宋_GBK" w:cs="方正仿宋_GBK"/>
                <w:sz w:val="24"/>
                <w:szCs w:val="24"/>
                <w:highlight w:val="white"/>
              </w:rPr>
              <w:t>确定中标人</w:t>
            </w:r>
          </w:p>
        </w:tc>
        <w:tc>
          <w:tcPr>
            <w:tcW w:w="5786" w:type="dxa"/>
            <w:vAlign w:val="center"/>
          </w:tcPr>
          <w:p>
            <w:pPr>
              <w:widowControl/>
              <w:spacing w:line="360" w:lineRule="exact"/>
              <w:rPr>
                <w:rFonts w:ascii="方正仿宋_GBK" w:hAnsi="方正仿宋_GBK" w:eastAsia="方正仿宋_GBK" w:cs="方正仿宋_GBK"/>
                <w:sz w:val="24"/>
                <w:szCs w:val="24"/>
                <w:highlight w:val="white"/>
              </w:rPr>
            </w:pPr>
            <w:r>
              <w:rPr>
                <w:rFonts w:hint="eastAsia" w:ascii="方正仿宋_GBK" w:hAnsi="方正仿宋_GBK" w:eastAsia="方正仿宋_GBK" w:cs="方正仿宋_GBK"/>
                <w:sz w:val="24"/>
                <w:szCs w:val="24"/>
                <w:highlight w:val="white"/>
              </w:rPr>
              <w:t>按以下第</w:t>
            </w:r>
            <w:r>
              <w:rPr>
                <w:rFonts w:hint="eastAsia" w:ascii="方正仿宋_GBK" w:hAnsi="方正仿宋_GBK" w:eastAsia="方正仿宋_GBK" w:cs="方正仿宋_GBK"/>
                <w:sz w:val="24"/>
                <w:szCs w:val="24"/>
                <w:highlight w:val="white"/>
                <w:u w:val="single"/>
              </w:rPr>
              <w:t>2</w:t>
            </w:r>
            <w:r>
              <w:rPr>
                <w:rFonts w:hint="eastAsia" w:ascii="方正仿宋_GBK" w:hAnsi="方正仿宋_GBK" w:eastAsia="方正仿宋_GBK" w:cs="方正仿宋_GBK"/>
                <w:sz w:val="24"/>
                <w:szCs w:val="24"/>
                <w:highlight w:val="white"/>
              </w:rPr>
              <w:t>种方式确定中标人：1.采购人按照规定在评标委员会推荐的中标候选人中确定中标人；2.</w:t>
            </w:r>
            <w:r>
              <w:rPr>
                <w:rFonts w:hint="eastAsia" w:ascii="方正仿宋_GBK" w:hAnsi="方正仿宋_GBK" w:eastAsia="方正仿宋_GBK" w:cs="方正仿宋_GBK"/>
                <w:color w:val="000000"/>
                <w:sz w:val="24"/>
                <w:szCs w:val="24"/>
                <w:highlight w:val="white"/>
              </w:rPr>
              <w:t>采购人授权评标委员会直接确定中标人；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w:t>
            </w:r>
          </w:p>
        </w:tc>
        <w:tc>
          <w:tcPr>
            <w:tcW w:w="2315" w:type="dxa"/>
            <w:vAlign w:val="center"/>
          </w:tcPr>
          <w:p>
            <w:pPr>
              <w:jc w:val="center"/>
              <w:rPr>
                <w:rFonts w:ascii="方正仿宋_GBK" w:hAnsi="方正仿宋_GBK" w:eastAsia="方正仿宋_GBK" w:cs="方正仿宋_GBK"/>
                <w:sz w:val="24"/>
                <w:szCs w:val="24"/>
                <w:highlight w:val="white"/>
              </w:rPr>
            </w:pPr>
            <w:r>
              <w:rPr>
                <w:rFonts w:hint="eastAsia" w:ascii="方正仿宋_GBK" w:hAnsi="方正仿宋_GBK" w:eastAsia="方正仿宋_GBK" w:cs="方正仿宋_GBK"/>
                <w:sz w:val="24"/>
                <w:szCs w:val="24"/>
                <w:highlight w:val="white"/>
              </w:rPr>
              <w:t>分包要求</w:t>
            </w:r>
          </w:p>
        </w:tc>
        <w:tc>
          <w:tcPr>
            <w:tcW w:w="5786" w:type="dxa"/>
            <w:vAlign w:val="center"/>
          </w:tcPr>
          <w:p>
            <w:pPr>
              <w:widowControl/>
              <w:spacing w:line="360" w:lineRule="exact"/>
              <w:rPr>
                <w:rFonts w:ascii="方正仿宋_GBK" w:hAnsi="方正仿宋_GBK" w:eastAsia="方正仿宋_GBK" w:cs="方正仿宋_GBK"/>
                <w:color w:val="000000"/>
                <w:sz w:val="24"/>
                <w:szCs w:val="24"/>
                <w:highlight w:val="white"/>
              </w:rPr>
            </w:pPr>
            <w:bookmarkStart w:id="66" w:name="EBebac1462c5d9459fbda8a75065c2455d"/>
            <w:r>
              <w:rPr>
                <w:rFonts w:hint="eastAsia" w:ascii="方正仿宋_GBK" w:hAnsi="方正仿宋_GBK" w:eastAsia="方正仿宋_GBK" w:cs="方正仿宋_GBK"/>
                <w:color w:val="000000"/>
                <w:sz w:val="24"/>
                <w:szCs w:val="24"/>
                <w:highlight w:val="white"/>
              </w:rPr>
              <w:t>本项目的非主体、非关键性工作是否允许分包按以下第</w:t>
            </w:r>
            <w:r>
              <w:rPr>
                <w:rFonts w:hint="eastAsia" w:ascii="方正仿宋_GBK" w:hAnsi="方正仿宋_GBK" w:eastAsia="方正仿宋_GBK" w:cs="方正仿宋_GBK"/>
                <w:sz w:val="24"/>
                <w:szCs w:val="24"/>
                <w:highlight w:val="white"/>
                <w:u w:val="single"/>
              </w:rPr>
              <w:t>2</w:t>
            </w:r>
            <w:r>
              <w:rPr>
                <w:rFonts w:hint="eastAsia" w:ascii="方正仿宋_GBK" w:hAnsi="方正仿宋_GBK" w:eastAsia="方正仿宋_GBK" w:cs="方正仿宋_GBK"/>
                <w:color w:val="000000"/>
                <w:sz w:val="24"/>
                <w:szCs w:val="24"/>
                <w:highlight w:val="white"/>
              </w:rPr>
              <w:t>种方式确定：</w:t>
            </w:r>
          </w:p>
          <w:p>
            <w:pPr>
              <w:widowControl/>
              <w:spacing w:line="360" w:lineRule="exact"/>
              <w:rPr>
                <w:rFonts w:ascii="方正仿宋_GBK" w:hAnsi="方正仿宋_GBK" w:eastAsia="方正仿宋_GBK" w:cs="方正仿宋_GBK"/>
                <w:sz w:val="24"/>
                <w:szCs w:val="24"/>
              </w:rPr>
            </w:pPr>
            <w:r>
              <w:rPr>
                <w:rFonts w:hint="eastAsia" w:ascii="方正仿宋_GBK" w:hAnsi="方正仿宋_GBK" w:eastAsia="方正仿宋_GBK" w:cs="方正仿宋_GBK"/>
                <w:color w:val="000000"/>
                <w:sz w:val="24"/>
                <w:szCs w:val="24"/>
                <w:highlight w:val="white"/>
              </w:rPr>
              <w:t>1.</w:t>
            </w:r>
            <w:bookmarkEnd w:id="66"/>
            <w:r>
              <w:rPr>
                <w:rFonts w:hint="eastAsia" w:ascii="方正仿宋_GBK" w:hAnsi="方正仿宋_GBK" w:eastAsia="方正仿宋_GBK" w:cs="方正仿宋_GBK"/>
                <w:sz w:val="24"/>
                <w:szCs w:val="24"/>
                <w:highlight w:val="white"/>
              </w:rPr>
              <w:t>允许分包，</w:t>
            </w:r>
            <w:bookmarkStart w:id="67" w:name="EB512ba06683724173802e2aae54a26079"/>
            <w:r>
              <w:rPr>
                <w:rFonts w:hint="eastAsia" w:ascii="方正仿宋_GBK" w:hAnsi="方正仿宋_GBK" w:eastAsia="方正仿宋_GBK" w:cs="方正仿宋_GBK"/>
                <w:color w:val="000000"/>
                <w:sz w:val="24"/>
                <w:szCs w:val="24"/>
                <w:highlight w:val="white"/>
              </w:rPr>
              <w:t>允许大中型企业向一家或者多家小微企业分包，分包具体内容、金额或比例：</w:t>
            </w:r>
            <w:bookmarkEnd w:id="67"/>
            <w:r>
              <w:rPr>
                <w:rFonts w:hint="eastAsia" w:ascii="方正仿宋_GBK" w:hAnsi="方正仿宋_GBK" w:eastAsia="方正仿宋_GBK" w:cs="方正仿宋_GBK"/>
                <w:color w:val="000000"/>
                <w:sz w:val="24"/>
                <w:szCs w:val="24"/>
                <w:highlight w:val="white"/>
              </w:rPr>
              <w:t>无</w:t>
            </w:r>
          </w:p>
          <w:p>
            <w:pPr>
              <w:widowControl/>
              <w:spacing w:line="360" w:lineRule="exact"/>
              <w:rPr>
                <w:rFonts w:ascii="方正仿宋_GBK" w:hAnsi="方正仿宋_GBK" w:eastAsia="方正仿宋_GBK" w:cs="方正仿宋_GBK"/>
                <w:highlight w:val="green"/>
              </w:rPr>
            </w:pPr>
            <w:r>
              <w:rPr>
                <w:rFonts w:hint="eastAsia" w:ascii="方正仿宋_GBK" w:hAnsi="方正仿宋_GBK" w:eastAsia="方正仿宋_GBK" w:cs="方正仿宋_GBK"/>
                <w:color w:val="000000"/>
                <w:sz w:val="24"/>
                <w:szCs w:val="24"/>
                <w:highlight w:val="white"/>
              </w:rPr>
              <w:t>2.</w:t>
            </w:r>
            <w:r>
              <w:rPr>
                <w:rFonts w:hint="eastAsia" w:ascii="方正仿宋_GBK" w:hAnsi="方正仿宋_GBK" w:eastAsia="方正仿宋_GBK" w:cs="方正仿宋_GBK"/>
                <w:sz w:val="24"/>
                <w:szCs w:val="24"/>
                <w:highlight w:val="white"/>
              </w:rPr>
              <w:t>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white"/>
              </w:rPr>
              <w:t>10</w:t>
            </w:r>
          </w:p>
        </w:tc>
        <w:tc>
          <w:tcPr>
            <w:tcW w:w="2315"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white"/>
              </w:rPr>
              <w:t>代理费用收取方式及标准</w:t>
            </w:r>
          </w:p>
        </w:tc>
        <w:tc>
          <w:tcPr>
            <w:tcW w:w="5786" w:type="dxa"/>
            <w:vAlign w:val="center"/>
          </w:tcPr>
          <w:p>
            <w:pPr>
              <w:widowControl/>
              <w:spacing w:line="360" w:lineRule="exact"/>
              <w:rPr>
                <w:rFonts w:ascii="方正仿宋_GBK" w:hAnsi="方正仿宋_GBK" w:eastAsia="方正仿宋_GBK" w:cs="方正仿宋_GBK"/>
                <w:sz w:val="24"/>
                <w:szCs w:val="24"/>
                <w:highlight w:val="green"/>
              </w:rPr>
            </w:pPr>
            <w:bookmarkStart w:id="68" w:name="EBfe735bb6fc4d4e5e9e350f940db98c5f"/>
            <w:bookmarkEnd w:id="68"/>
            <w:r>
              <w:rPr>
                <w:rFonts w:hint="eastAsia" w:ascii="方正仿宋_GBK" w:hAnsi="方正仿宋_GBK" w:eastAsia="方正仿宋_GBK" w:cs="方正仿宋_GBK"/>
                <w:color w:val="000000"/>
                <w:sz w:val="24"/>
                <w:szCs w:val="24"/>
                <w:highlight w:val="white"/>
              </w:rPr>
              <w:t>本项目不收取代理费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white"/>
              </w:rPr>
              <w:t>11</w:t>
            </w:r>
          </w:p>
        </w:tc>
        <w:tc>
          <w:tcPr>
            <w:tcW w:w="2315"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white"/>
              </w:rPr>
              <w:t>其他</w:t>
            </w:r>
          </w:p>
        </w:tc>
        <w:tc>
          <w:tcPr>
            <w:tcW w:w="5786" w:type="dxa"/>
            <w:vAlign w:val="center"/>
          </w:tcPr>
          <w:p>
            <w:pPr>
              <w:widowControl/>
              <w:spacing w:line="360" w:lineRule="exact"/>
              <w:rPr>
                <w:rFonts w:ascii="方正仿宋_GBK" w:hAnsi="方正仿宋_GBK" w:eastAsia="方正仿宋_GBK" w:cs="方正仿宋_GBK"/>
                <w:color w:val="000000"/>
                <w:sz w:val="24"/>
                <w:szCs w:val="24"/>
                <w:highlight w:val="white"/>
              </w:rPr>
            </w:pPr>
            <w:r>
              <w:rPr>
                <w:rFonts w:hint="eastAsia" w:ascii="方正仿宋_GBK" w:hAnsi="方正仿宋_GBK" w:eastAsia="方正仿宋_GBK" w:cs="方正仿宋_GBK"/>
                <w:color w:val="000000"/>
                <w:sz w:val="24"/>
                <w:szCs w:val="24"/>
                <w:highlight w:val="white"/>
              </w:rPr>
              <w:t>投标人最终得分与排名结果随中标结果一并公告。</w:t>
            </w:r>
          </w:p>
          <w:p>
            <w:pPr>
              <w:pStyle w:val="103"/>
            </w:pPr>
            <w:r>
              <w:rPr>
                <w:rFonts w:hint="eastAsia" w:ascii="方正仿宋_GBK" w:hAnsi="方正仿宋_GBK" w:eastAsia="方正仿宋_GBK" w:cs="方正仿宋_GBK"/>
                <w:color w:val="000000"/>
                <w:sz w:val="24"/>
                <w:szCs w:val="24"/>
                <w:highlight w:val="white"/>
              </w:rPr>
              <w:t>补充救济条款：采购供应商合法权益补偿救济机制。在履约过程因政策变化、规划调整而无法履行合同约定，造成企业合法权益受损的，采购人依据实际情况对供应商进行补偿救济。</w:t>
            </w:r>
          </w:p>
        </w:tc>
        <w:bookmarkStart w:id="69" w:name="EB57e60e2185ad4f8aa3291d2c5afbcc97"/>
        <w:bookmarkStart w:id="70" w:name="EBc91228392f1e4db5bf2f171a6b6a36cc"/>
        <w:bookmarkStart w:id="71" w:name="EB379186c95d8d4f5892d49bb86c4339ef"/>
      </w:tr>
      <w:bookmarkEnd w:id="57"/>
      <w:bookmarkEnd w:id="58"/>
      <w:bookmarkEnd w:id="59"/>
      <w:bookmarkEnd w:id="60"/>
      <w:bookmarkEnd w:id="69"/>
      <w:bookmarkEnd w:id="70"/>
      <w:bookmarkEnd w:id="71"/>
    </w:tbl>
    <w:p>
      <w:pPr>
        <w:pStyle w:val="195"/>
        <w:outlineLvl w:val="1"/>
        <w:rPr>
          <w:rFonts w:ascii="方正仿宋_GBK" w:hAnsi="方正仿宋_GBK" w:eastAsia="方正仿宋_GBK" w:cs="方正仿宋_GBK"/>
          <w:highlight w:val="white"/>
        </w:rPr>
      </w:pPr>
      <w:bookmarkStart w:id="72" w:name="_Toc81575155"/>
      <w:bookmarkStart w:id="73" w:name="_Toc8239"/>
      <w:bookmarkStart w:id="74" w:name="_Toc81575192"/>
      <w:bookmarkStart w:id="75" w:name="_Toc16938525"/>
      <w:bookmarkStart w:id="76" w:name="_Toc20823281"/>
      <w:bookmarkStart w:id="77" w:name="_Toc513029209"/>
      <w:bookmarkStart w:id="78" w:name="_Toc120614215"/>
      <w:r>
        <w:rPr>
          <w:rFonts w:hint="eastAsia" w:ascii="方正仿宋_GBK" w:hAnsi="方正仿宋_GBK" w:eastAsia="方正仿宋_GBK" w:cs="方正仿宋_GBK"/>
          <w:highlight w:val="white"/>
        </w:rPr>
        <w:t>一、总则</w:t>
      </w:r>
      <w:bookmarkEnd w:id="72"/>
      <w:bookmarkEnd w:id="73"/>
      <w:bookmarkEnd w:id="74"/>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1、招标方式</w:t>
      </w:r>
    </w:p>
    <w:p>
      <w:pPr>
        <w:pStyle w:val="18"/>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本次招标采取公开招标方式。</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2、合格的投标人</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2.1合格的投标人必须符合招标文件第一部分《投标邀请函》第二条及须知前附表相关规定，且具备完成本项目的能力，中标后不允许转包。</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2.2合格的投标人应遵守《中华人民共和国政府采购法》、《中华人民共和国政府采购法实施条例》、《中华人民共和国民法典（第三编合同）》等有关法律、法规。</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3、适用法律</w:t>
      </w:r>
    </w:p>
    <w:p>
      <w:pPr>
        <w:spacing w:line="500" w:lineRule="exact"/>
        <w:ind w:firstLine="480"/>
        <w:rPr>
          <w:rFonts w:ascii="方正仿宋_GBK" w:hAnsi="方正仿宋_GBK" w:eastAsia="方正仿宋_GBK" w:cs="方正仿宋_GBK"/>
          <w:b/>
          <w:sz w:val="24"/>
          <w:highlight w:val="white"/>
        </w:rPr>
      </w:pPr>
      <w:r>
        <w:rPr>
          <w:rFonts w:hint="eastAsia" w:ascii="方正仿宋_GBK" w:hAnsi="方正仿宋_GBK" w:eastAsia="方正仿宋_GBK" w:cs="方正仿宋_GBK"/>
          <w:sz w:val="24"/>
          <w:highlight w:val="white"/>
        </w:rPr>
        <w:t>本次招标及由本次招标产生的合同受中华人民共和国的相关法律、法规制约和保护。</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4、投标费用</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投标人应自行承担所有参加投标有关的费用。</w:t>
      </w:r>
    </w:p>
    <w:p>
      <w:pPr>
        <w:spacing w:line="500" w:lineRule="exact"/>
        <w:ind w:firstLine="482"/>
        <w:rPr>
          <w:rFonts w:ascii="方正仿宋_GBK" w:hAnsi="方正仿宋_GBK" w:eastAsia="方正仿宋_GBK" w:cs="方正仿宋_GBK"/>
          <w:b/>
          <w:sz w:val="24"/>
          <w:highlight w:val="white"/>
        </w:rPr>
      </w:pPr>
      <w:r>
        <w:rPr>
          <w:rFonts w:hint="eastAsia" w:ascii="方正仿宋_GBK" w:hAnsi="方正仿宋_GBK" w:eastAsia="方正仿宋_GBK" w:cs="方正仿宋_GBK"/>
          <w:b/>
          <w:sz w:val="24"/>
          <w:highlight w:val="white"/>
        </w:rPr>
        <w:t>5、相同品牌产品投标</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5.1、采用最低评标价法的采购项目，提供相同品牌产品的不同投标人参加同一合同项下投标的，以其中通过资格审查、符合性审查且报价最低的参加评标；报价相同的，由采购人采取随机抽取方式确定，其他投标无效。</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5.2使用综合评分法的采购项目，提供相同品牌产品且通过资格审查、符合性审查的不同投标人参加同一合同项下投标的，按一家投标人计算，评审后得分最高的同品牌投标人获得中标人推荐资格；评审得分相同的，报价最低的同品牌投标人获得中标人推荐资格；评审得分且报价相同的，采取随机抽取方式确定，其他同品牌投标人不作为中标候选人。</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5.3、非单一产品采购项目，采购人确定核心产品，并在招标文件中载明。多家投标人提供的核心产品品牌相同的，按前两款规定处理。</w:t>
      </w:r>
    </w:p>
    <w:p>
      <w:pPr>
        <w:spacing w:line="360" w:lineRule="auto"/>
        <w:ind w:firstLine="482" w:firstLineChars="200"/>
        <w:rPr>
          <w:rFonts w:ascii="方正仿宋_GBK" w:hAnsi="方正仿宋_GBK" w:eastAsia="方正仿宋_GBK" w:cs="方正仿宋_GBK"/>
          <w:b/>
          <w:sz w:val="24"/>
        </w:rPr>
      </w:pPr>
      <w:bookmarkStart w:id="79" w:name="EB03f11de025af49a0b0680fbbffa2bc40"/>
      <w:bookmarkEnd w:id="79"/>
      <w:r>
        <w:rPr>
          <w:rFonts w:hint="eastAsia" w:ascii="方正仿宋_GBK" w:hAnsi="方正仿宋_GBK" w:eastAsia="方正仿宋_GBK" w:cs="方正仿宋_GBK"/>
          <w:b/>
          <w:sz w:val="24"/>
        </w:rPr>
        <w:t>6、政府采购政策</w:t>
      </w:r>
    </w:p>
    <w:p>
      <w:pPr>
        <w:spacing w:line="500" w:lineRule="exact"/>
        <w:ind w:firstLine="482"/>
        <w:rPr>
          <w:rFonts w:ascii="方正仿宋_GBK" w:hAnsi="方正仿宋_GBK" w:eastAsia="方正仿宋_GBK" w:cs="方正仿宋_GBK"/>
          <w:b/>
          <w:sz w:val="24"/>
          <w:highlight w:val="white"/>
        </w:rPr>
      </w:pPr>
      <w:r>
        <w:rPr>
          <w:rFonts w:hint="eastAsia" w:ascii="方正仿宋_GBK" w:hAnsi="方正仿宋_GBK" w:eastAsia="方正仿宋_GBK" w:cs="方正仿宋_GBK"/>
          <w:b/>
          <w:bCs/>
          <w:sz w:val="24"/>
          <w:highlight w:val="white"/>
        </w:rPr>
        <w:t>本项目落实的政府采购政策为应序号为</w:t>
      </w:r>
      <w:r>
        <w:rPr>
          <w:rFonts w:hint="eastAsia" w:ascii="方正仿宋_GBK" w:hAnsi="方正仿宋_GBK" w:eastAsia="方正仿宋_GBK" w:cs="方正仿宋_GBK"/>
          <w:color w:val="000000"/>
          <w:sz w:val="24"/>
          <w:highlight w:val="white"/>
          <w:u w:val="single"/>
        </w:rPr>
        <w:t xml:space="preserve">6.1 </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6.1中小企业政策</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本项目采购标的对应的中小企业划分标准所属行业：物业管理</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本项目按以下第（1）种政策确定本项目落实的中小企业政策：</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（1）本项目专门面向中小企业（含监狱与戒毒企业、残疾人福利企业）采购。</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（2）投标人提供的服务符合规定情形的，对小微企业报价给予扣除（扣除比例详见“评审标准”相关条款），用扣除后的价格参加评审。</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在服务采购项目中，服务由中小企业承接，即提供服务的人员为中小企业依照《中华人民共和国劳动合同法》订立劳动合同的从业人员。</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注：①参加投标的中小企业，应当按照《政府采购促进中小企业发展管理办法》（财库〔2020〕46号）规定，出具《中小企业声明函》，中小企业划型依据《关于印发中小企业划型标准规定的通知》（工信部联企业〔2011〕300 号）。</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②参加投标的监狱企业，视同小型、微型企业。监狱企业应当按照《财政部 司法部关于政府采购支持监狱企业发展有关问题的通知》（财库〔2014〕68号）的规定，提供由省级以上监狱管理局、戒毒管理局(含新疆生产建设兵团)出具的属于监狱企业的证明文件（投标文件中上传加盖出具单位公章的电子件）。</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③参加投标的残疾人福利性单位，视同小型、微型企业。残疾人福利性单位应当按照《财政部 民政部 中国残疾人联合会关于促进残疾人就业政府采购政策的通知》（财库〔2017〕141号）的规定，提供《残疾人福利性单位声明函》。</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④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5%（工程项目为2%）的扣除，用扣除后的价格参加评审。（是否接受联合体以“项目基本情况”相关内容为准，是否允许大中型企业向一家或者多家小微企业分包以“须知前附表”、“采购需求”相关内容为准。）</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6.2 政府采购节能产品、环境标志产品</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6.2.1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6.2.2采购人拟采购的产品属于政府强制采购的节能产品品目清单范围的，投标人须提供国家确定的认证机构出具的、处于有效期之内的节能产品认证证书的，否则无效标处理。</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6.2.3采购人拟采购的产品属于优先采购的节能环保品目清单范围的，按以下条件优先采购：</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采用综合评分法的项目，对提供有效节能环保证书的投标人加分。</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采用最低评标价法的项目，同等条件下优先推荐提供有效节能环保证书多的投标人为中标人。</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6.3政府采购需求标准</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6.3.1商品包装、快递包装政府采购需求标准（试行）</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为助力打好污染防治攻坚战，推广使用绿色包装，根据财政部印发的《商品包装政府采购需求标准（试行）》、《快递包装政府采购需求标准（试行）》，如本项目涉及商品包装和快递包装的，具体需求详见第四部分采购需求。</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 xml:space="preserve"> 6.3.2绿色数据中心政府采购需求标准（试行）</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为加快数据中心绿色转型，根据财政部 生态环境部 工业和信息化部关于印发《绿色数据中心政府采购需求标准（试行）》的通知），本项目如涉及绿色数据中心，具体需求详见第四部分采购需求。</w:t>
      </w:r>
    </w:p>
    <w:p>
      <w:pPr>
        <w:pStyle w:val="195"/>
        <w:outlineLvl w:val="1"/>
        <w:rPr>
          <w:rFonts w:ascii="方正仿宋_GBK" w:hAnsi="方正仿宋_GBK" w:eastAsia="方正仿宋_GBK" w:cs="方正仿宋_GBK"/>
        </w:rPr>
      </w:pPr>
      <w:r>
        <w:rPr>
          <w:rFonts w:hint="eastAsia" w:ascii="方正仿宋_GBK" w:hAnsi="方正仿宋_GBK" w:eastAsia="方正仿宋_GBK" w:cs="方正仿宋_GBK"/>
          <w:highlight w:val="white"/>
        </w:rPr>
        <w:t>二、招标文件</w:t>
      </w:r>
    </w:p>
    <w:p>
      <w:pPr>
        <w:spacing w:line="500" w:lineRule="exact"/>
        <w:ind w:firstLine="482"/>
        <w:rPr>
          <w:rFonts w:ascii="方正仿宋_GBK" w:hAnsi="方正仿宋_GBK" w:eastAsia="方正仿宋_GBK" w:cs="方正仿宋_GBK"/>
          <w:b/>
          <w:sz w:val="24"/>
          <w:highlight w:val="white"/>
        </w:rPr>
      </w:pPr>
      <w:r>
        <w:rPr>
          <w:rFonts w:hint="eastAsia" w:ascii="方正仿宋_GBK" w:hAnsi="方正仿宋_GBK" w:eastAsia="方正仿宋_GBK" w:cs="方正仿宋_GBK"/>
          <w:b/>
          <w:sz w:val="24"/>
          <w:highlight w:val="white"/>
        </w:rPr>
        <w:t>7、招标文件构成</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7.1招标文件由以下部分组成：</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第一部分：投标邀请函；</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第二部分：投标人须知；</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第三部分：资格审查及评分办法；</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第四部分：采购需求；</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第五部分：合同格式及条款；</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第六部分：投标文件格式。</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请仔细检查招标文件是否齐全，如有缺漏请立即与代理机构联系解决。</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7.2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8、招标文件的澄清</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任何要求对招标文件澄清的投标人，均应在招标文件提供截止时间之前提出，采购代理机构对规定时间内收到的澄清要求予以答复，答复不包括问题的来源。</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9、招标文件的修改</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9.1采购人或者采购代理机构可以以更正公告的形式，对已发出的招标文件进行必要的澄清或者修改。澄清或者修改的内容可能影响投标文件编制的，采购人或者采购代理机构应当在投标截止时间前15日前发出；不足15日的，采购人或者采购代理机构应当顺延提交投标文件的截止时间。</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9.2招标文件的修改将在原公告媒体上发布更正公告，并对投标人具有约束力。</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9.3投标人应及时登录“苏采云”系统获取澄清答疑文件（修改后招标文件），如因投标人原因未能及时下载澄清和修改后的招标文件，由此造成的相关责任，由投标人承担。</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9.4采购代理机构发出的所有补充、修改和变更文件均作为招标文件的组成部分，与招标文件具有同等法律效力。</w:t>
      </w:r>
    </w:p>
    <w:p>
      <w:pPr>
        <w:rPr>
          <w:rFonts w:ascii="方正仿宋_GBK" w:hAnsi="方正仿宋_GBK" w:eastAsia="方正仿宋_GBK" w:cs="方正仿宋_GBK"/>
          <w:highlight w:val="yellow"/>
        </w:rPr>
      </w:pPr>
      <w:bookmarkStart w:id="80" w:name="EBec71fc1696a240c4b620fe1e00b2ce58"/>
      <w:bookmarkEnd w:id="80"/>
      <w:bookmarkStart w:id="81" w:name="EB2154fb7cf02b4b0980c6759aa29ee4ed"/>
      <w:bookmarkEnd w:id="81"/>
      <w:bookmarkStart w:id="82" w:name="EB453bde7f4ddc418fae2aad9fbcd82554"/>
      <w:bookmarkEnd w:id="82"/>
    </w:p>
    <w:p>
      <w:pPr>
        <w:pStyle w:val="195"/>
        <w:outlineLvl w:val="1"/>
        <w:rPr>
          <w:rFonts w:ascii="方正仿宋_GBK" w:hAnsi="方正仿宋_GBK" w:eastAsia="方正仿宋_GBK" w:cs="方正仿宋_GBK"/>
        </w:rPr>
      </w:pPr>
      <w:bookmarkStart w:id="83" w:name="_Toc81575194"/>
      <w:bookmarkStart w:id="84" w:name="_Toc11461"/>
      <w:bookmarkStart w:id="85" w:name="_Toc81575157"/>
      <w:r>
        <w:rPr>
          <w:rFonts w:hint="eastAsia" w:ascii="方正仿宋_GBK" w:hAnsi="方正仿宋_GBK" w:eastAsia="方正仿宋_GBK" w:cs="方正仿宋_GBK"/>
          <w:highlight w:val="white"/>
        </w:rPr>
        <w:t>三、投标文件的编制</w:t>
      </w:r>
      <w:bookmarkEnd w:id="83"/>
      <w:bookmarkEnd w:id="84"/>
      <w:bookmarkEnd w:id="85"/>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10、投标文件的编制要求</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10.1投标人应仔细阅读“招标文件”的所有内容，按“招标文件”第六部分“投标文件格式”编制“电子投标文件”，如有必要，可以增加附页，作为投标文件的组成部分。本次招标不接受纸质投标文件。投标人须保证所提供的全部资料的真实性、完整性及有效性，以使其投标对“招标文件”作出实质性响应。否则，可能被拒绝。</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10.2投标文件应当对招标文件有关交货期、投标有效期、质量要求、技术标准和要求、招标范围等实质性内容作出响应。</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10.3中标后按相关要求提供与电子投标文件一致的纸质打印投标文件。</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10.4投标文件须加盖电子签章之处，应按要求加盖投标人数字证书的电子签章。其他需要盖章但未明确要求电子签章的，</w:t>
      </w:r>
      <w:r>
        <w:rPr>
          <w:rFonts w:hint="eastAsia" w:ascii="方正仿宋_GBK" w:hAnsi="方正仿宋_GBK" w:eastAsia="方正仿宋_GBK" w:cs="方正仿宋_GBK"/>
          <w:sz w:val="24"/>
          <w:highlight w:val="white"/>
          <w:u w:val="single"/>
        </w:rPr>
        <w:t>投标人可按要求加盖公章后上传材料电子件或直接加盖电子签章</w:t>
      </w:r>
      <w:r>
        <w:rPr>
          <w:rFonts w:hint="eastAsia" w:ascii="方正仿宋_GBK" w:hAnsi="方正仿宋_GBK" w:eastAsia="方正仿宋_GBK" w:cs="方正仿宋_GBK"/>
          <w:sz w:val="24"/>
          <w:szCs w:val="24"/>
          <w:highlight w:val="white"/>
          <w:u w:val="single"/>
        </w:rPr>
        <w:t>。</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10.5本项目通过“苏采云”系统进行电子招标投标，即供应商响应文件使用政府采购客户端工具制作并通过“苏采云”系统提交，如标书制作工具中格式和内容与“宿迁市政府采购网”发布的招标文件不一致，请以“宿迁市政府采购网”发布的招标文件为准。</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供应商应当通过“苏采云”系统提交数据电文形式的响应文件（即电子投标）。未进行响应文件提交并解密的供应商，按照无效响应处理(因“苏采云”系统导致解密失败的除外)。</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11、投标文件构成</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11.1投标声明及承诺函。</w:t>
      </w:r>
    </w:p>
    <w:p>
      <w:pPr>
        <w:spacing w:line="500" w:lineRule="exact"/>
        <w:ind w:firstLine="480"/>
        <w:rPr>
          <w:rFonts w:ascii="方正仿宋_GBK" w:hAnsi="方正仿宋_GBK" w:eastAsia="方正仿宋_GBK" w:cs="方正仿宋_GBK"/>
          <w:color w:val="0000FF"/>
          <w:sz w:val="24"/>
          <w:highlight w:val="white"/>
        </w:rPr>
      </w:pPr>
      <w:r>
        <w:rPr>
          <w:rFonts w:hint="eastAsia" w:ascii="方正仿宋_GBK" w:hAnsi="方正仿宋_GBK" w:eastAsia="方正仿宋_GBK" w:cs="方正仿宋_GBK"/>
          <w:sz w:val="24"/>
          <w:highlight w:val="white"/>
        </w:rPr>
        <w:t>11.2法人授权书；</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11.3报价文件</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11.3.1开标一览表；</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11.3.2投标分项报价表。</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11.4综合评审评分项相关技术文件</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11.5商务文件</w:t>
      </w:r>
    </w:p>
    <w:p>
      <w:pPr>
        <w:spacing w:line="500" w:lineRule="exact"/>
        <w:ind w:firstLine="480"/>
        <w:rPr>
          <w:rFonts w:ascii="方正仿宋_GBK" w:hAnsi="方正仿宋_GBK" w:eastAsia="方正仿宋_GBK" w:cs="方正仿宋_GBK"/>
          <w:sz w:val="24"/>
          <w:highlight w:val="green"/>
        </w:rPr>
      </w:pPr>
      <w:bookmarkStart w:id="86" w:name="EBdc2c24f6358343e896cd43bd6621a619"/>
      <w:r>
        <w:rPr>
          <w:rFonts w:hint="eastAsia" w:ascii="方正仿宋_GBK" w:hAnsi="方正仿宋_GBK" w:eastAsia="方正仿宋_GBK" w:cs="方正仿宋_GBK"/>
          <w:color w:val="000000"/>
          <w:sz w:val="24"/>
          <w:highlight w:val="white"/>
        </w:rPr>
        <w:t>11.5.1投标人承担的类似项目业绩一览表；</w:t>
      </w:r>
    </w:p>
    <w:p>
      <w:pPr>
        <w:spacing w:line="500" w:lineRule="exact"/>
        <w:ind w:firstLine="480"/>
        <w:rPr>
          <w:rFonts w:ascii="方正仿宋_GBK" w:hAnsi="方正仿宋_GBK" w:eastAsia="方正仿宋_GBK" w:cs="方正仿宋_GBK"/>
          <w:color w:val="0000FF"/>
          <w:sz w:val="24"/>
          <w:highlight w:val="white"/>
        </w:rPr>
      </w:pPr>
      <w:r>
        <w:rPr>
          <w:rFonts w:hint="eastAsia" w:ascii="方正仿宋_GBK" w:hAnsi="方正仿宋_GBK" w:eastAsia="方正仿宋_GBK" w:cs="方正仿宋_GBK"/>
          <w:color w:val="000000"/>
          <w:sz w:val="24"/>
          <w:highlight w:val="white"/>
        </w:rPr>
        <w:t>11.5.2其他商务文件。</w:t>
      </w:r>
      <w:bookmarkEnd w:id="86"/>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11.6投标人认为有必要提供的其它材料。</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如标书制作工具中格式和内容与“宿迁市政府采购网”发布的招标文件不一致，请以“宿迁市政府采购网”发布的招标文件为准。</w:t>
      </w:r>
    </w:p>
    <w:p>
      <w:pPr>
        <w:spacing w:line="500" w:lineRule="exact"/>
        <w:ind w:firstLine="482"/>
        <w:rPr>
          <w:rFonts w:ascii="方正仿宋_GBK" w:hAnsi="方正仿宋_GBK" w:eastAsia="方正仿宋_GBK" w:cs="方正仿宋_GBK"/>
          <w:b/>
          <w:sz w:val="24"/>
          <w:highlight w:val="green"/>
        </w:rPr>
      </w:pPr>
      <w:r>
        <w:rPr>
          <w:rFonts w:hint="eastAsia" w:ascii="方正仿宋_GBK" w:hAnsi="方正仿宋_GBK" w:eastAsia="方正仿宋_GBK" w:cs="方正仿宋_GBK"/>
          <w:b/>
          <w:color w:val="000000"/>
          <w:sz w:val="24"/>
          <w:highlight w:val="white"/>
        </w:rPr>
        <w:t>注：（1）投标文件构成资料为非中文时应提供中文译版；（2）招标文件要求提供证书证件等原件电子件的，投标人提供的电子件应是对证书证件等原件通过扫描、拍照等方式进行数字化的可被苏采云系统识别的数字文件，否则评标委员会可以视其未提供。（3）无论何种原因，即使投标人开标时携带了证书证明资料的原件，但电子投标文件中未包含相关资料电子件的，评标委员会可以视同其未提供。</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12、投标文件的加密</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投标人应使用经苏采云系统认可的电子商务认证授权机构（CA认证中心）颁发的数字证书对其电子投标文件认证并加密，未按要求加密并认证的投标文件，不予受理。</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13、投标报价</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13.1报价为一次报价，于开标会议当场宣读。</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13.2本项目不接受备选的投标方案或有选择的报价，只允许有一个报价。投标报价内容包括：</w:t>
      </w:r>
      <w:bookmarkStart w:id="87" w:name="EB75f48e9561ee41d4955ed4174c5e92e6"/>
      <w:r>
        <w:rPr>
          <w:rFonts w:hint="eastAsia" w:ascii="方正仿宋_GBK" w:hAnsi="方正仿宋_GBK" w:eastAsia="方正仿宋_GBK" w:cs="方正仿宋_GBK"/>
          <w:sz w:val="24"/>
          <w:highlight w:val="white"/>
        </w:rPr>
        <w:t>完成本项工作所需的人员工资（不得低于宿迁市现行最低工资标准）及节假日加班费等补助和福利费、耗材费、人员服装、保险、垃圾清运、四害防治、人员培训、税金、利润、政策性调整引起的成本上升风险以及为完成物业服务管理工作所涉及到的一切所有费用。</w:t>
      </w:r>
      <w:bookmarkEnd w:id="87"/>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13.3报价注意事项：价格一律以人民币计算，以元为单位标准；</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14、投标保证金</w:t>
      </w:r>
    </w:p>
    <w:p>
      <w:pPr>
        <w:spacing w:line="500" w:lineRule="exact"/>
        <w:ind w:firstLine="480"/>
        <w:rPr>
          <w:rFonts w:ascii="方正仿宋_GBK" w:hAnsi="方正仿宋_GBK" w:eastAsia="方正仿宋_GBK" w:cs="方正仿宋_GBK"/>
          <w:sz w:val="24"/>
          <w:highlight w:val="green"/>
        </w:rPr>
      </w:pPr>
      <w:bookmarkStart w:id="88" w:name="EB183a0bf075204c54a4ff090f1aecaaa7"/>
      <w:r>
        <w:rPr>
          <w:rFonts w:hint="eastAsia" w:ascii="方正仿宋_GBK" w:hAnsi="方正仿宋_GBK" w:eastAsia="方正仿宋_GBK" w:cs="方正仿宋_GBK"/>
          <w:color w:val="000000"/>
          <w:sz w:val="24"/>
          <w:highlight w:val="white"/>
        </w:rPr>
        <w:t>本项目不收取投标保证金。</w:t>
      </w:r>
      <w:bookmarkEnd w:id="88"/>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15、投标有效期</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15.1在投标人须知前附表规定的投标有效期内，投标有效期从提交投标文件的截止之日起算。投标有效期不足的投标，在评标时将其视为投标无效。</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15.2特殊情况需延长投标有效期的，采购代理机构可于投标有效期届满之前，要求投标人同意延长有效期，可向投标人提出延长投标有效期的要求，采购代理机构的要求与投标人的答复均应为书面形式（如信件、传真或电报等），投标人拒绝延长的，其投标在原投标有效期期届满后将不再有效；投标人同意延长的，不允许修改或撤回投标文件。</w:t>
      </w:r>
    </w:p>
    <w:p>
      <w:pPr>
        <w:rPr>
          <w:rFonts w:ascii="方正仿宋_GBK" w:hAnsi="方正仿宋_GBK" w:eastAsia="方正仿宋_GBK" w:cs="方正仿宋_GBK"/>
          <w:highlight w:val="yellow"/>
        </w:rPr>
      </w:pPr>
      <w:bookmarkStart w:id="89" w:name="EB12ed6b870f334fa092f7ed1f9a9dbab8"/>
      <w:bookmarkEnd w:id="89"/>
      <w:bookmarkStart w:id="90" w:name="EB5d36e8077cc64e309c0c0f0cd8a6f496"/>
      <w:bookmarkEnd w:id="90"/>
    </w:p>
    <w:p>
      <w:pPr>
        <w:pStyle w:val="195"/>
        <w:outlineLvl w:val="1"/>
        <w:rPr>
          <w:rFonts w:ascii="方正仿宋_GBK" w:hAnsi="方正仿宋_GBK" w:eastAsia="方正仿宋_GBK" w:cs="方正仿宋_GBK"/>
        </w:rPr>
      </w:pPr>
      <w:bookmarkStart w:id="91" w:name="_Toc23443"/>
      <w:bookmarkStart w:id="92" w:name="_Toc81575158"/>
      <w:bookmarkStart w:id="93" w:name="_Toc81575195"/>
      <w:r>
        <w:rPr>
          <w:rFonts w:hint="eastAsia" w:ascii="方正仿宋_GBK" w:hAnsi="方正仿宋_GBK" w:eastAsia="方正仿宋_GBK" w:cs="方正仿宋_GBK"/>
          <w:highlight w:val="white"/>
        </w:rPr>
        <w:t>四、投标文件的提交</w:t>
      </w:r>
      <w:bookmarkEnd w:id="91"/>
      <w:bookmarkEnd w:id="92"/>
      <w:bookmarkEnd w:id="93"/>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16、投标文件的提交</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16.1投标人应在招标文件规定的投标截止时间前提交投标文件。投标人应将电子投标文件上传至“苏采云”系统对应的本次开标分包中，未及时上传的，招标人不予受理。投标文件提交截止时间后，投标人对投标报价或其他实质性内容修正的函件和增加的任何优惠条件，一律拒绝接收。</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16.2除招标文件另有规定外，投标人所提交的投标文件不予退还。</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16.3网上投标文件的修改和撤回：在投标截止时间前，投标人可以撤回或重新提交投标文件，投标文件以最终完成上传的为准。</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16.4采购代理机构可以通过修改招标文件酌情延长投标文件接收截止日期，在此情况下，投标人的所有权利和义务以及投标人受制约的截止日期均应以延长后新的截止日期为准。</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17、投标文件被拒绝接收的情形</w:t>
      </w:r>
    </w:p>
    <w:p>
      <w:pPr>
        <w:spacing w:line="500" w:lineRule="exact"/>
        <w:ind w:firstLine="480"/>
        <w:rPr>
          <w:rFonts w:ascii="方正仿宋_GBK" w:hAnsi="方正仿宋_GBK" w:eastAsia="方正仿宋_GBK" w:cs="方正仿宋_GBK"/>
          <w:highlight w:val="cyan"/>
        </w:rPr>
      </w:pPr>
      <w:r>
        <w:rPr>
          <w:rFonts w:hint="eastAsia" w:ascii="方正仿宋_GBK" w:hAnsi="方正仿宋_GBK" w:eastAsia="方正仿宋_GBK" w:cs="方正仿宋_GBK"/>
          <w:sz w:val="24"/>
          <w:highlight w:val="white"/>
        </w:rPr>
        <w:t>17.1在招标文件规定的投标截止时间后上传的投标文件。</w:t>
      </w:r>
      <w:bookmarkStart w:id="94" w:name="EB1a0613573add421692a7e6f802327ecc"/>
      <w:bookmarkEnd w:id="94"/>
    </w:p>
    <w:p>
      <w:pPr>
        <w:rPr>
          <w:rFonts w:ascii="方正仿宋_GBK" w:hAnsi="方正仿宋_GBK" w:eastAsia="方正仿宋_GBK" w:cs="方正仿宋_GBK"/>
          <w:highlight w:val="yellow"/>
        </w:rPr>
      </w:pPr>
      <w:bookmarkStart w:id="95" w:name="EB200c38d7a1c345f29b604b38d510a951"/>
      <w:bookmarkEnd w:id="95"/>
      <w:bookmarkStart w:id="96" w:name="EB2abce7e2c6f440e8b25c6bbba111ee54"/>
      <w:bookmarkEnd w:id="96"/>
    </w:p>
    <w:p>
      <w:pPr>
        <w:pStyle w:val="195"/>
        <w:outlineLvl w:val="1"/>
        <w:rPr>
          <w:rFonts w:ascii="方正仿宋_GBK" w:hAnsi="方正仿宋_GBK" w:eastAsia="方正仿宋_GBK" w:cs="方正仿宋_GBK"/>
        </w:rPr>
      </w:pPr>
      <w:bookmarkStart w:id="97" w:name="_Toc81575196"/>
      <w:bookmarkStart w:id="98" w:name="_Toc8841"/>
      <w:bookmarkStart w:id="99" w:name="_Toc81575159"/>
      <w:r>
        <w:rPr>
          <w:rFonts w:hint="eastAsia" w:ascii="方正仿宋_GBK" w:hAnsi="方正仿宋_GBK" w:eastAsia="方正仿宋_GBK" w:cs="方正仿宋_GBK"/>
          <w:highlight w:val="white"/>
        </w:rPr>
        <w:t>五、无效标、废标、串通投标认定条款</w:t>
      </w:r>
      <w:bookmarkEnd w:id="97"/>
      <w:bookmarkEnd w:id="98"/>
      <w:bookmarkEnd w:id="99"/>
    </w:p>
    <w:p>
      <w:pPr>
        <w:spacing w:line="500" w:lineRule="exact"/>
        <w:ind w:firstLine="482"/>
        <w:rPr>
          <w:rFonts w:ascii="方正仿宋_GBK" w:hAnsi="方正仿宋_GBK" w:eastAsia="方正仿宋_GBK" w:cs="方正仿宋_GBK"/>
          <w:sz w:val="24"/>
          <w:highlight w:val="white"/>
        </w:rPr>
      </w:pPr>
      <w:r>
        <w:rPr>
          <w:rFonts w:hint="eastAsia" w:ascii="方正仿宋_GBK" w:hAnsi="方正仿宋_GBK" w:eastAsia="方正仿宋_GBK" w:cs="方正仿宋_GBK"/>
          <w:b/>
          <w:sz w:val="24"/>
          <w:highlight w:val="white"/>
        </w:rPr>
        <w:t>18、无效投标条款</w:t>
      </w:r>
      <w:bookmarkStart w:id="100" w:name="EB94942e5430df4fb8a077f3cf7667f212"/>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18.1投标人不符合招标文件规定资格要求的或未按规定提交资质证件的；</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18.2投标文件签署、盖章不符合招标文件要求的；</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18.3未按招标文件要求提供电子投标文件，或者在苏采云系统规定的时间内未成功解密电子投标文件；</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18.4报价超过招标文件中规定的预算金额或者最高限价的；</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18.5投标文件出现重大偏离，未对招标文件进行实质性响应的（★部分为实质性要求）；</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18.6投标文件含有采购人不能接受的附加条件的；</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18.7投标人有本招标文件规定的恶意串通投标情形的；</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18.8其它评标委员会认为有必要取消的投标；</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18.9法律、法规规定的其它情况。</w:t>
      </w:r>
      <w:bookmarkEnd w:id="100"/>
    </w:p>
    <w:p>
      <w:pPr>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19、废标条款</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19.1符合专业条件的供应商或者对招标文件作实质响应的供应商不足三家的；</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19.2出现影响采购公正的违法、违规行为的；</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19.3投标人的报价均超过了采购预算，且采购人不能支付的；</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19.4因重大变故，采购任务取消的。</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19.5评标委员会认定招标文件存在歧义、重大缺陷导致评审工作无法进行。</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19.6</w:t>
      </w:r>
      <w:r>
        <w:rPr>
          <w:rFonts w:hint="eastAsia" w:ascii="方正仿宋_GBK" w:eastAsia="方正仿宋_GBK"/>
          <w:sz w:val="24"/>
          <w:highlight w:val="white"/>
        </w:rPr>
        <w:t>因</w:t>
      </w:r>
      <w:r>
        <w:rPr>
          <w:rFonts w:hint="eastAsia" w:ascii="方正仿宋_GBK" w:eastAsia="方正仿宋_GBK"/>
          <w:b/>
          <w:bCs/>
          <w:color w:val="FF0000"/>
          <w:sz w:val="24"/>
          <w:highlight w:val="white"/>
        </w:rPr>
        <w:t>苏采云系统</w:t>
      </w:r>
      <w:r>
        <w:rPr>
          <w:rFonts w:hint="eastAsia" w:ascii="方正仿宋_GBK" w:eastAsia="方正仿宋_GBK"/>
          <w:sz w:val="24"/>
          <w:highlight w:val="white"/>
        </w:rPr>
        <w:t>系统故障原因造成开标不成功的。</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20、供应商不足三家情形处理</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投标截止后投标人不足3家或者通过资格审查或符合性审查的投标人不足3家的，除采购任务取消情形外，按财政部令第87号第四十三条条款进行处理。</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21、取消中标候选人资格条款</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21.1提供虚假材料谋取中标的；</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21.2采取不正当手段诋毁、排挤其他投标人的；</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21.3与采购人、其他投标人或者采购代理机构恶意串通的；</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21.4向采购人、采购代理机构行贿或者提供其他不正当利益的；</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21.5未在规定时间内与采购人签订采购合同的；</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21.6法律、法规规定的其它情况。</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22、串通投标的情形</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有下列情形之一的，属于恶意串通投标：</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22.1供应商直接或间接从采购人或采购代理机构处获得其他供应商的投标情况，并修改其投标文件；</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22.2评审活动开始前供应商直接或间接从采购人或采购代理机构处获得评标委员会组成人员情况；</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22.3供应商接受采购人或采购代理机构授意撤换、修改投标文件；</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22.4供应商之间协商投标报价、技术方案等投标文件实质性内容；</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22.5属于同一集团、协会、商会等组织成员的供应商按照该组织要求协同投标；</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22.6供应商之间事先约定由某一特定供应商中标、成交；</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22.7供应商之间商定部分供应商放弃投标或者放弃中标、成交；</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22.8供应商与采购人或采购代理机构之间、供应商相互之间为谋求特定供应商中标成交或者排斥其他供应商的其他串通行为；</w:t>
      </w:r>
    </w:p>
    <w:p>
      <w:pPr>
        <w:spacing w:line="500" w:lineRule="exact"/>
        <w:ind w:firstLine="482"/>
        <w:rPr>
          <w:rFonts w:ascii="方正仿宋_GBK" w:hAnsi="方正仿宋_GBK" w:eastAsia="方正仿宋_GBK" w:cs="方正仿宋_GBK"/>
          <w:b/>
          <w:bCs/>
          <w:sz w:val="24"/>
          <w:highlight w:val="white"/>
        </w:rPr>
      </w:pPr>
      <w:r>
        <w:rPr>
          <w:rFonts w:hint="eastAsia" w:ascii="方正仿宋_GBK" w:hAnsi="方正仿宋_GBK" w:eastAsia="方正仿宋_GBK" w:cs="方正仿宋_GBK"/>
          <w:b/>
          <w:bCs/>
          <w:sz w:val="24"/>
          <w:highlight w:val="white"/>
        </w:rPr>
        <w:t>有下列情形之一的，视为投标人串通投标，其投标无效：</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22.9不同投标人的投标文件由同一单位或者个人编制；</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22.10不同投标人委托同一单位或者个人办理投标事宜；</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22.11不同投标人的投标文件载明的项目管理成员或者联系人员为同一人；</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22.12不同投标人的投标文件异常一致或者投标报价呈规律性差异；</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22.13不同投标人的投标文件相互混装；</w:t>
      </w:r>
    </w:p>
    <w:p>
      <w:pPr>
        <w:spacing w:line="500" w:lineRule="exact"/>
        <w:ind w:firstLine="480"/>
        <w:rPr>
          <w:rFonts w:ascii="方正仿宋_GBK" w:hAnsi="方正仿宋_GBK" w:eastAsia="方正仿宋_GBK" w:cs="方正仿宋_GBK"/>
          <w:highlight w:val="cyan"/>
        </w:rPr>
      </w:pPr>
      <w:r>
        <w:rPr>
          <w:rFonts w:hint="eastAsia" w:ascii="方正仿宋_GBK" w:hAnsi="方正仿宋_GBK" w:eastAsia="方正仿宋_GBK" w:cs="方正仿宋_GBK"/>
          <w:sz w:val="24"/>
          <w:highlight w:val="white"/>
        </w:rPr>
        <w:t>22.14不同投标人的投标保证金从同一单位或者个人的账户转出。</w:t>
      </w:r>
      <w:bookmarkStart w:id="101" w:name="EBcc7423567fb349dc944ead6109f4340c"/>
      <w:bookmarkEnd w:id="101"/>
    </w:p>
    <w:p>
      <w:pPr>
        <w:rPr>
          <w:rFonts w:ascii="方正仿宋_GBK" w:hAnsi="方正仿宋_GBK" w:eastAsia="方正仿宋_GBK" w:cs="方正仿宋_GBK"/>
          <w:highlight w:val="yellow"/>
        </w:rPr>
      </w:pPr>
      <w:bookmarkStart w:id="102" w:name="EB9e3458116ed741408b74babd3cf5dbce"/>
      <w:bookmarkEnd w:id="102"/>
      <w:bookmarkStart w:id="103" w:name="EB76ea5ed115084e6eb1f37ee5ca324eb3"/>
      <w:bookmarkEnd w:id="103"/>
    </w:p>
    <w:p>
      <w:pPr>
        <w:pStyle w:val="195"/>
        <w:outlineLvl w:val="1"/>
        <w:rPr>
          <w:rFonts w:ascii="方正仿宋_GBK" w:hAnsi="方正仿宋_GBK" w:eastAsia="方正仿宋_GBK" w:cs="方正仿宋_GBK"/>
        </w:rPr>
      </w:pPr>
      <w:bookmarkStart w:id="104" w:name="_Toc20026"/>
      <w:bookmarkStart w:id="105" w:name="_Toc81575160"/>
      <w:bookmarkStart w:id="106" w:name="_Toc81575197"/>
      <w:r>
        <w:rPr>
          <w:rFonts w:hint="eastAsia" w:ascii="方正仿宋_GBK" w:hAnsi="方正仿宋_GBK" w:eastAsia="方正仿宋_GBK" w:cs="方正仿宋_GBK"/>
          <w:highlight w:val="white"/>
        </w:rPr>
        <w:t>六、开标、资格审查、评标程序</w:t>
      </w:r>
      <w:bookmarkEnd w:id="104"/>
      <w:bookmarkEnd w:id="105"/>
      <w:bookmarkEnd w:id="106"/>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23、开标会议</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23.1代理机构项目负责人按招标文件规定的时间、地点组织公开开标。采购单位代表及有关工作人员参加，政府采购监管部门代表视情况参与监管。</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23.2开标会议由代理机构项目负责人主持。</w:t>
      </w:r>
    </w:p>
    <w:p>
      <w:pPr>
        <w:spacing w:line="500" w:lineRule="exact"/>
        <w:ind w:firstLine="482"/>
        <w:rPr>
          <w:rFonts w:ascii="方正仿宋_GBK" w:hAnsi="方正仿宋_GBK" w:eastAsia="方正仿宋_GBK" w:cs="方正仿宋_GBK"/>
          <w:b/>
          <w:sz w:val="24"/>
          <w:highlight w:val="white"/>
        </w:rPr>
      </w:pPr>
      <w:r>
        <w:rPr>
          <w:rFonts w:hint="eastAsia" w:ascii="方正仿宋_GBK" w:hAnsi="方正仿宋_GBK" w:eastAsia="方正仿宋_GBK" w:cs="方正仿宋_GBK"/>
          <w:b/>
          <w:sz w:val="24"/>
          <w:highlight w:val="white"/>
        </w:rPr>
        <w:t>23.3开标时投标人应使用CA证书参与投标文件解密。投标人用于解密的CA证书应为该投标文件生成加密、上传的同一把CA证书。</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23.3.1采用不见面开标的项目，投标人应登录“苏采云”系统“开标大厅”或进入宿迁市政府采购网，点击“政府采购管理交易系统（苏采云）”进入系统“开标大厅”，在系统约定时间内使用CA证书解密，未成功解密的视为其放弃投标。　　　　　</w:t>
      </w:r>
    </w:p>
    <w:p>
      <w:pPr>
        <w:spacing w:line="500" w:lineRule="exact"/>
        <w:ind w:firstLine="480"/>
        <w:rPr>
          <w:rFonts w:ascii="方正仿宋_GBK" w:eastAsia="方正仿宋_GBK"/>
          <w:color w:val="FF0000"/>
          <w:sz w:val="24"/>
          <w:highlight w:val="white"/>
        </w:rPr>
      </w:pPr>
      <w:r>
        <w:rPr>
          <w:rFonts w:hint="eastAsia" w:ascii="方正仿宋_GBK" w:eastAsia="方正仿宋_GBK"/>
          <w:color w:val="000000"/>
          <w:sz w:val="24"/>
          <w:highlight w:val="white"/>
        </w:rPr>
        <w:t>23.4苏采云系统将自动对项目进行开标，开标会议上将公布投标人名称、投标报价等主要内容。</w:t>
      </w:r>
    </w:p>
    <w:p>
      <w:pPr>
        <w:spacing w:line="500" w:lineRule="exact"/>
        <w:ind w:firstLine="480"/>
        <w:rPr>
          <w:rFonts w:ascii="方正仿宋_GBK" w:hAnsi="方正仿宋_GBK" w:eastAsia="方正仿宋_GBK" w:cs="方正仿宋_GBK"/>
          <w:sz w:val="24"/>
          <w:highlight w:val="white"/>
        </w:rPr>
      </w:pPr>
      <w:r>
        <w:rPr>
          <w:rFonts w:hint="eastAsia" w:ascii="方正仿宋_GBK" w:eastAsia="方正仿宋_GBK"/>
          <w:color w:val="000000"/>
          <w:sz w:val="24"/>
          <w:highlight w:val="white"/>
        </w:rPr>
        <w:t>采用现场开标的项目，开标过程的相关记录，由参加开标的各投标人代表和相关工作人员签字确认。投标人未参加开标的，视同认可开标结果。</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23.5投标人在开、评标全过程中应保持通讯畅通，及时登录</w:t>
      </w:r>
      <w:r>
        <w:rPr>
          <w:rFonts w:hint="eastAsia" w:ascii="方正仿宋_GBK" w:hAnsi="方正仿宋_GBK" w:eastAsia="方正仿宋_GBK" w:cs="方正仿宋_GBK"/>
          <w:b/>
          <w:bCs/>
          <w:color w:val="FF0000"/>
          <w:sz w:val="24"/>
          <w:highlight w:val="white"/>
        </w:rPr>
        <w:t>苏采云系统</w:t>
      </w:r>
      <w:r>
        <w:rPr>
          <w:rFonts w:hint="eastAsia" w:ascii="方正仿宋_GBK" w:hAnsi="方正仿宋_GBK" w:eastAsia="方正仿宋_GBK" w:cs="方正仿宋_GBK"/>
          <w:sz w:val="24"/>
          <w:highlight w:val="white"/>
        </w:rPr>
        <w:t>查阅、答复相关信息，并安排专人与代理机构及评标委员会联系。</w:t>
      </w:r>
    </w:p>
    <w:p>
      <w:pPr>
        <w:spacing w:line="500" w:lineRule="exact"/>
        <w:ind w:firstLine="482"/>
        <w:rPr>
          <w:rFonts w:ascii="方正仿宋_GBK" w:hAnsi="方正仿宋_GBK" w:eastAsia="方正仿宋_GBK" w:cs="方正仿宋_GBK"/>
          <w:sz w:val="24"/>
        </w:rPr>
      </w:pPr>
      <w:r>
        <w:rPr>
          <w:rFonts w:hint="eastAsia" w:ascii="方正仿宋_GBK" w:hAnsi="方正仿宋_GBK" w:eastAsia="方正仿宋_GBK" w:cs="方正仿宋_GBK"/>
          <w:b/>
          <w:sz w:val="24"/>
          <w:highlight w:val="white"/>
        </w:rPr>
        <w:t>24、开标流程</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24.1不见面开标主要程序：主持人按下列程序进行开标，开标按分包顺序进行。</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24.1.1开标主持；</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24.1.2投标人对电子投标文件解密；</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24.1.3唱标；</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24.1.4开标会议结束。</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投标人如果对开标过程和开标记录有疑义，应当根据《操作手册》规定提出，如苏采云系统中《开标记录表》宣布后5分钟内未提出的，视同认可开标结果。</w:t>
      </w:r>
    </w:p>
    <w:p>
      <w:pPr>
        <w:spacing w:line="500" w:lineRule="exact"/>
        <w:ind w:firstLine="482"/>
        <w:rPr>
          <w:rFonts w:ascii="方正仿宋_GBK" w:hAnsi="方正仿宋_GBK" w:eastAsia="方正仿宋_GBK" w:cs="方正仿宋_GBK"/>
          <w:b/>
          <w:sz w:val="24"/>
          <w:highlight w:val="white"/>
        </w:rPr>
      </w:pPr>
      <w:r>
        <w:rPr>
          <w:rFonts w:hint="eastAsia" w:ascii="方正仿宋_GBK" w:hAnsi="方正仿宋_GBK" w:eastAsia="方正仿宋_GBK" w:cs="方正仿宋_GBK"/>
          <w:b/>
          <w:sz w:val="24"/>
          <w:highlight w:val="white"/>
        </w:rPr>
        <w:t>25、资格审查</w:t>
      </w:r>
    </w:p>
    <w:p>
      <w:pPr>
        <w:spacing w:line="500" w:lineRule="exact"/>
        <w:ind w:firstLine="480"/>
        <w:rPr>
          <w:rFonts w:ascii="方正仿宋_GBK" w:hAnsi="方正仿宋_GBK" w:eastAsia="方正仿宋_GBK" w:cs="方正仿宋_GBK"/>
          <w:sz w:val="24"/>
          <w:highlight w:val="green"/>
        </w:rPr>
      </w:pPr>
      <w:bookmarkStart w:id="107" w:name="EBa9c0a2c9e523494487594c65b2a92370"/>
      <w:r>
        <w:rPr>
          <w:rFonts w:hint="eastAsia" w:ascii="方正仿宋_GBK" w:hAnsi="方正仿宋_GBK" w:eastAsia="方正仿宋_GBK" w:cs="方正仿宋_GBK"/>
          <w:color w:val="000000"/>
          <w:sz w:val="24"/>
          <w:highlight w:val="white"/>
        </w:rPr>
        <w:t>开标结束后，采购人依法根据招标文件的规定对投标人的资格证明文件等进行审查。</w:t>
      </w:r>
      <w:bookmarkEnd w:id="107"/>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26、评标委员会</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采购人应根据本项目的特点依法组建评标委员</w:t>
      </w:r>
      <w:r>
        <w:rPr>
          <w:rFonts w:hint="eastAsia" w:ascii="方正仿宋_GBK" w:hAnsi="方正仿宋_GBK" w:eastAsia="方正仿宋_GBK" w:cs="方正仿宋_GBK"/>
          <w:color w:val="000000"/>
          <w:sz w:val="24"/>
          <w:highlight w:val="white"/>
        </w:rPr>
        <w:t>会,</w:t>
      </w:r>
      <w:r>
        <w:rPr>
          <w:rFonts w:hint="eastAsia" w:ascii="方正仿宋_GBK" w:hAnsi="方正仿宋_GBK" w:eastAsia="方正仿宋_GBK" w:cs="方正仿宋_GBK"/>
          <w:sz w:val="24"/>
          <w:highlight w:val="white"/>
        </w:rPr>
        <w:t>评标委员</w:t>
      </w:r>
      <w:r>
        <w:rPr>
          <w:rFonts w:hint="eastAsia" w:ascii="方正仿宋_GBK" w:hAnsi="方正仿宋_GBK" w:eastAsia="方正仿宋_GBK" w:cs="方正仿宋_GBK"/>
          <w:color w:val="000000"/>
          <w:sz w:val="24"/>
          <w:highlight w:val="white"/>
        </w:rPr>
        <w:t>会由采购人代表和有关技术、经济等方面的专家组成，且人员构成符合政府采购有关规定。</w:t>
      </w:r>
      <w:r>
        <w:rPr>
          <w:rFonts w:hint="eastAsia" w:ascii="方正仿宋_GBK" w:hAnsi="方正仿宋_GBK" w:eastAsia="方正仿宋_GBK" w:cs="方正仿宋_GBK"/>
          <w:sz w:val="24"/>
          <w:highlight w:val="white"/>
        </w:rPr>
        <w:t>评标委员会负责具体评标事务，对资格审查合格的投标人进行评标，独立履行相关职责并确定中标人候选人。</w:t>
      </w:r>
    </w:p>
    <w:p>
      <w:pPr>
        <w:spacing w:line="500" w:lineRule="exact"/>
        <w:ind w:firstLine="482"/>
        <w:rPr>
          <w:rFonts w:ascii="方正仿宋_GBK" w:hAnsi="方正仿宋_GBK" w:eastAsia="方正仿宋_GBK" w:cs="方正仿宋_GBK"/>
          <w:b/>
          <w:sz w:val="24"/>
          <w:highlight w:val="white"/>
        </w:rPr>
      </w:pPr>
      <w:r>
        <w:rPr>
          <w:rFonts w:hint="eastAsia" w:ascii="方正仿宋_GBK" w:hAnsi="方正仿宋_GBK" w:eastAsia="方正仿宋_GBK" w:cs="方正仿宋_GBK"/>
          <w:b/>
          <w:sz w:val="24"/>
          <w:highlight w:val="white"/>
        </w:rPr>
        <w:t>27、评标原则</w:t>
      </w:r>
    </w:p>
    <w:p>
      <w:pPr>
        <w:spacing w:line="500" w:lineRule="exact"/>
        <w:ind w:firstLine="480"/>
        <w:rPr>
          <w:rFonts w:ascii="方正仿宋_GBK" w:hAnsi="方正仿宋_GBK" w:eastAsia="方正仿宋_GBK" w:cs="方正仿宋_GBK"/>
          <w:color w:val="000000"/>
          <w:sz w:val="24"/>
          <w:highlight w:val="white"/>
        </w:rPr>
      </w:pPr>
      <w:r>
        <w:rPr>
          <w:rFonts w:hint="eastAsia" w:ascii="方正仿宋_GBK" w:hAnsi="方正仿宋_GBK" w:eastAsia="方正仿宋_GBK" w:cs="方正仿宋_GBK"/>
          <w:color w:val="000000"/>
          <w:sz w:val="24"/>
          <w:highlight w:val="white"/>
        </w:rPr>
        <w:t>“公平、公正、客观、择优”为评标的基本原则，以招标文件和投标文件为评标的基本依据，并按照招标文件规定的评标方法和评标标准进行评标。评标委员将根据这一原则，公正、平等地对待各投标人。</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28、评标程序</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28.1符合性检查：审查、评价投标文件是否符合招标文件的商务、技术等实质性要求。评标委员会依据招标文件的规定，从投标文件的有效性、完整性和对招标文件的响应程度进行审查，以确定是否对招标文件的要求作出了实质性的响应。存在重大偏离的投标文件为无效标。</w:t>
      </w:r>
      <w:bookmarkStart w:id="108" w:name="EB1499356fad43416eb16398733accabf7"/>
      <w:r>
        <w:rPr>
          <w:rFonts w:hint="eastAsia" w:ascii="方正仿宋_GBK" w:hAnsi="方正仿宋_GBK" w:eastAsia="方正仿宋_GBK" w:cs="方正仿宋_GBK"/>
          <w:color w:val="000000"/>
          <w:sz w:val="24"/>
          <w:highlight w:val="white"/>
        </w:rPr>
        <w:t>所谓重大偏离是指投标人投标文件中所述设备质量、技术规格、数量、交货期和服务等明显不能满足招标文件要求。</w:t>
      </w:r>
      <w:bookmarkEnd w:id="108"/>
      <w:r>
        <w:rPr>
          <w:rFonts w:hint="eastAsia" w:ascii="方正仿宋_GBK" w:hAnsi="方正仿宋_GBK" w:eastAsia="方正仿宋_GBK" w:cs="方正仿宋_GBK"/>
          <w:sz w:val="24"/>
          <w:highlight w:val="white"/>
        </w:rPr>
        <w:t>重大偏离的认定须经评标委员会三分之二以上同意。</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评标委员会判断“投标文件”的响应性，仅基于“投标文件”本身而不靠外部证据。对非实质性响应的投标文件，投标人不能通过修正或撤销不符之处，而使其成为实质性响应。</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28.2澄清有关问题。</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28.2.1对投标文件中含义不明确、同类问题表述不一致或者有明显文字和计算错误的内容，评标委员会可以书面形式（应当由评标委员会专家签字）或通过系统要求投标人作出必要的澄清、说明或者纠正。投标人的澄清、说明或者补正应当采用书面形式或通过“苏采云”系统向评标委员会进行澄清回复。投标人的澄清、说明或者补正不得超出投标文件的范围或者改变投标文件的实质性内容。投标人的书面澄清、说明应加盖公章，或者由法定代表人或其授权的代表签字，通过投标人业务系统实施的澄清、说明应加盖电子印章。</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28.2.2需要供应商进行澄清、说明和补正的，评委会将通过苏采云系统向供应商发出“澄清要求函”，接到“澄清要求函”的投标人应当按照要求在苏采云系统中提交“澄清响应函”并加盖CA电子公章。澄清、说明和补正的内容作为投标文件的补充部分，</w:t>
      </w:r>
    </w:p>
    <w:p>
      <w:pPr>
        <w:spacing w:line="500" w:lineRule="exact"/>
        <w:ind w:firstLine="60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28.2.2投标文件报价出现前后不一致的，除招标文件另有规定外，按照下列规定修正：</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①投标文件中开标一览表（报价表）内容与投标文件中相应内容不一致的，以开标一览表（报价表）为准；</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②大写金额和小写金额不一致的，以大写金额为准；</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③单价金额小数点或者百分比有明显错位的，以开标一览表的总价为准，并修改单价；</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④总价金额与按单价汇总金额不一致的，以单价金额计算结果为准。</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同时出现两种以上不一致的，按照前款规定的顺序修正。修正后的报价，经投标人确认后产生约束力，投标人不确认的，其投标无效。</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28.3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28.4比较。评标委员会将按招标文件中规定的评标方法和标准，对符合性检查合格的投标文件进行商务和技术评比。</w:t>
      </w:r>
    </w:p>
    <w:p>
      <w:pPr>
        <w:spacing w:line="500" w:lineRule="exact"/>
        <w:ind w:firstLine="480"/>
        <w:rPr>
          <w:rFonts w:ascii="方正仿宋_GBK" w:hAnsi="方正仿宋_GBK" w:eastAsia="方正仿宋_GBK" w:cs="方正仿宋_GBK"/>
          <w:sz w:val="24"/>
          <w:highlight w:val="green"/>
        </w:rPr>
      </w:pPr>
      <w:r>
        <w:rPr>
          <w:rFonts w:hint="eastAsia" w:ascii="方正仿宋_GBK" w:hAnsi="方正仿宋_GBK" w:eastAsia="方正仿宋_GBK" w:cs="方正仿宋_GBK"/>
          <w:sz w:val="24"/>
          <w:highlight w:val="white"/>
        </w:rPr>
        <w:t>28.5推荐中标候选人。评标委员会按照招标文件中规定的评标方法和标准推荐中标候选人。</w:t>
      </w:r>
    </w:p>
    <w:p>
      <w:pPr>
        <w:rPr>
          <w:rFonts w:ascii="宋体" w:hAnsi="宋体" w:cs="宋体"/>
          <w:highlight w:val="cyan"/>
        </w:rPr>
      </w:pPr>
      <w:bookmarkStart w:id="109" w:name="EB5514f9b371d443648fc13fa8e895ebcf"/>
      <w:bookmarkEnd w:id="109"/>
    </w:p>
    <w:p>
      <w:pPr>
        <w:rPr>
          <w:rFonts w:ascii="方正仿宋_GBK" w:hAnsi="方正仿宋_GBK" w:eastAsia="方正仿宋_GBK" w:cs="方正仿宋_GBK"/>
          <w:highlight w:val="yellow"/>
        </w:rPr>
      </w:pPr>
      <w:bookmarkStart w:id="110" w:name="EBd9bc59d5f2ed4fb8a64ee2e373d8cc72"/>
      <w:bookmarkEnd w:id="110"/>
      <w:bookmarkStart w:id="111" w:name="EB66024636071342209da8bda483232040"/>
      <w:bookmarkEnd w:id="111"/>
    </w:p>
    <w:p>
      <w:pPr>
        <w:pStyle w:val="195"/>
        <w:outlineLvl w:val="1"/>
        <w:rPr>
          <w:rFonts w:ascii="方正仿宋_GBK" w:hAnsi="方正仿宋_GBK" w:eastAsia="方正仿宋_GBK" w:cs="方正仿宋_GBK"/>
        </w:rPr>
      </w:pPr>
      <w:bookmarkStart w:id="112" w:name="_Toc81575198"/>
      <w:bookmarkStart w:id="113" w:name="_Toc6494"/>
      <w:bookmarkStart w:id="114" w:name="_Toc81575161"/>
      <w:r>
        <w:rPr>
          <w:rFonts w:hint="eastAsia" w:ascii="方正仿宋_GBK" w:hAnsi="方正仿宋_GBK" w:eastAsia="方正仿宋_GBK" w:cs="方正仿宋_GBK"/>
          <w:highlight w:val="white"/>
        </w:rPr>
        <w:t>七、中标及合同签订</w:t>
      </w:r>
      <w:bookmarkEnd w:id="112"/>
      <w:bookmarkEnd w:id="113"/>
      <w:bookmarkEnd w:id="114"/>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29、确定中标人</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29.1中标供应商确定之日起2个工作日内，采购人或采购代理机构将在财政部门指定信息媒体上发布中标结果，中标公告的公告期限为1个工作日。</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29.2在中标结果公告期届满前，中标人被列为失信被执行人的，取消其中标资格，并重新确定中标人。</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29.3采购人不得通过对样品进行检测、对供应商进行考察等方式改变评审结果。</w:t>
      </w:r>
    </w:p>
    <w:p>
      <w:pPr>
        <w:spacing w:line="500" w:lineRule="exact"/>
        <w:ind w:firstLine="480"/>
        <w:rPr>
          <w:rFonts w:ascii="方正仿宋_GBK" w:hAnsi="方正仿宋_GBK" w:eastAsia="方正仿宋_GBK" w:cs="方正仿宋_GBK"/>
          <w:sz w:val="24"/>
          <w:highlight w:val="yellow"/>
        </w:rPr>
      </w:pPr>
      <w:r>
        <w:rPr>
          <w:rFonts w:hint="eastAsia" w:ascii="方正仿宋_GBK" w:hAnsi="方正仿宋_GBK" w:eastAsia="方正仿宋_GBK" w:cs="方正仿宋_GBK"/>
          <w:sz w:val="24"/>
          <w:highlight w:val="white"/>
        </w:rPr>
        <w:t>29.4采购人应当自收到评审报告之日起5个工作日内在评审报告推荐的中标候选人中按顺序确定中标人。</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30、中标通知书</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30.1中标结果确定后，交易中心将向中标人发出中标通知书。请中标人使用CA数字证书登录“苏采云系统”及时下载中标通知书。中标供应商可自行下载打印《中标通知书》，《中标通知书》将作为授予合同资格的唯一合法依据。中标通知书发出后，采购人不得违法改变中标结果，中标供应商不得放弃中标。中标供应商放弃中标的，应当依法承担相应的法律责任。</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30.2中标通知书发出之日起5个工作日内，中标人应提供</w:t>
      </w:r>
      <w:bookmarkStart w:id="115" w:name="EB77316d0a14244b75a134d7ae2a68f57c"/>
      <w:r>
        <w:rPr>
          <w:rFonts w:hint="eastAsia" w:ascii="方正仿宋_GBK" w:hAnsi="方正仿宋_GBK" w:eastAsia="方正仿宋_GBK" w:cs="方正仿宋_GBK"/>
          <w:color w:val="000000"/>
          <w:sz w:val="24"/>
          <w:highlight w:val="white"/>
        </w:rPr>
        <w:t>2</w:t>
      </w:r>
      <w:bookmarkEnd w:id="115"/>
      <w:r>
        <w:rPr>
          <w:rFonts w:hint="eastAsia" w:ascii="方正仿宋_GBK" w:hAnsi="方正仿宋_GBK" w:eastAsia="方正仿宋_GBK" w:cs="方正仿宋_GBK"/>
          <w:sz w:val="24"/>
          <w:highlight w:val="white"/>
        </w:rPr>
        <w:t>份与网上投标文件一致的纸质打印投标文件。</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30.3采用综合评分法评审的，未中标的投标人可于中标结果公告期限届满之日起通过苏采云系统查看自己的评审得分及排序情况。</w:t>
      </w:r>
    </w:p>
    <w:p>
      <w:pPr>
        <w:spacing w:line="500" w:lineRule="exact"/>
        <w:ind w:firstLine="480"/>
        <w:rPr>
          <w:rFonts w:ascii="方正仿宋_GBK" w:hAnsi="方正仿宋_GBK" w:eastAsia="方正仿宋_GBK" w:cs="方正仿宋_GBK"/>
          <w:color w:val="000000"/>
        </w:rPr>
      </w:pPr>
      <w:r>
        <w:rPr>
          <w:rFonts w:hint="eastAsia" w:ascii="方正仿宋_GBK" w:hAnsi="方正仿宋_GBK" w:eastAsia="方正仿宋_GBK" w:cs="方正仿宋_GBK"/>
          <w:sz w:val="24"/>
          <w:highlight w:val="white"/>
        </w:rPr>
        <w:t>30.4</w:t>
      </w:r>
      <w:r>
        <w:rPr>
          <w:rFonts w:hint="eastAsia" w:ascii="方正仿宋_GBK" w:hAnsi="方正仿宋_GBK" w:eastAsia="方正仿宋_GBK" w:cs="方正仿宋_GBK"/>
          <w:color w:val="000000"/>
          <w:sz w:val="24"/>
          <w:highlight w:val="white"/>
        </w:rPr>
        <w:t>项目采购采用最低评标（审）价法的，公告中标、成交结果时应当同时公告因落实政府采购政策等原因进行价格扣除后中标、成交供应商的评审报价；项目采购采用综合评分法的，公告中标、成交结果时应当同时公告中标、成交供应商的评审总得分。</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31、签订和公告合同</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31.1采购人与中标供应商应当在中标通知书发出之日起15日内签订政府采购合同。招标文件、中标人的投标文件以及评标过程中有关澄清文件均作为合同附件。</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31.2中标供应商拒绝与采购人签订合同的，采购人可以按照评审报告推荐的中标候选人名单排序，确定下一候选人为中标供应商，也可以重新开展政府采购活动。</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31.3采购人在自合同签订之日起2个工作日内，将合同在指定的媒体上公告。</w:t>
      </w:r>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32、履约保证金</w:t>
      </w:r>
    </w:p>
    <w:p>
      <w:pPr>
        <w:spacing w:line="560" w:lineRule="exact"/>
        <w:ind w:firstLine="482"/>
        <w:rPr>
          <w:rFonts w:ascii="方正仿宋_GBK" w:eastAsia="方正仿宋_GBK"/>
          <w:b/>
          <w:sz w:val="24"/>
          <w:lang w:val="zh-CN"/>
        </w:rPr>
      </w:pPr>
      <w:r>
        <w:rPr>
          <w:rFonts w:hint="eastAsia" w:ascii="方正仿宋_GBK" w:eastAsia="方正仿宋_GBK"/>
          <w:b/>
          <w:sz w:val="24"/>
          <w:lang w:val="zh-CN"/>
        </w:rPr>
        <w:t>按照以下第</w:t>
      </w:r>
      <w:r>
        <w:rPr>
          <w:rFonts w:hint="eastAsia" w:ascii="方正仿宋_GBK" w:eastAsia="方正仿宋_GBK"/>
          <w:b/>
          <w:sz w:val="24"/>
          <w:u w:val="single"/>
          <w:lang w:val="zh-CN"/>
        </w:rPr>
        <w:t xml:space="preserve">  （1）  </w:t>
      </w:r>
      <w:r>
        <w:rPr>
          <w:rFonts w:hint="eastAsia" w:ascii="方正仿宋_GBK" w:eastAsia="方正仿宋_GBK"/>
          <w:b/>
          <w:sz w:val="24"/>
          <w:lang w:val="zh-CN"/>
        </w:rPr>
        <w:t>方式确定履约保证收取方式。</w:t>
      </w:r>
    </w:p>
    <w:p>
      <w:pPr>
        <w:spacing w:line="560" w:lineRule="exact"/>
        <w:ind w:firstLine="480"/>
        <w:rPr>
          <w:rFonts w:ascii="方正仿宋_GBK" w:eastAsia="方正仿宋_GBK"/>
          <w:bCs/>
          <w:sz w:val="24"/>
          <w:lang w:val="zh-CN"/>
        </w:rPr>
      </w:pPr>
      <w:r>
        <w:rPr>
          <w:rFonts w:hint="eastAsia" w:ascii="方正仿宋_GBK" w:eastAsia="方正仿宋_GBK"/>
          <w:bCs/>
          <w:sz w:val="24"/>
          <w:lang w:val="zh-CN"/>
        </w:rPr>
        <w:t>(1)不收取履约保证金。</w:t>
      </w:r>
    </w:p>
    <w:p>
      <w:pPr>
        <w:spacing w:line="560" w:lineRule="exact"/>
        <w:ind w:firstLine="480"/>
        <w:rPr>
          <w:rFonts w:ascii="方正仿宋_GBK" w:eastAsia="方正仿宋_GBK"/>
          <w:bCs/>
          <w:sz w:val="24"/>
          <w:lang w:val="zh-CN"/>
        </w:rPr>
      </w:pPr>
      <w:r>
        <w:rPr>
          <w:rFonts w:hint="eastAsia" w:ascii="方正仿宋_GBK" w:eastAsia="方正仿宋_GBK"/>
          <w:bCs/>
          <w:sz w:val="24"/>
          <w:lang w:val="zh-CN"/>
        </w:rPr>
        <w:t>(2)履约保证金应在采购合同签订前提交，履约保证金的金额：</w:t>
      </w:r>
      <w:r>
        <w:rPr>
          <w:rFonts w:hint="eastAsia" w:ascii="方正仿宋_GBK" w:eastAsia="方正仿宋_GBK"/>
          <w:bCs/>
          <w:sz w:val="24"/>
          <w:u w:val="single"/>
        </w:rPr>
        <w:t xml:space="preserve">     ，</w:t>
      </w:r>
      <w:r>
        <w:rPr>
          <w:rFonts w:hint="eastAsia" w:ascii="方正仿宋_GBK" w:eastAsia="方正仿宋_GBK"/>
          <w:bCs/>
          <w:sz w:val="24"/>
          <w:lang w:val="zh-CN"/>
        </w:rPr>
        <w:t>按采购合同总价的</w:t>
      </w:r>
      <w:r>
        <w:rPr>
          <w:rFonts w:hint="eastAsia" w:ascii="方正仿宋_GBK" w:eastAsia="方正仿宋_GBK"/>
          <w:bCs/>
          <w:sz w:val="24"/>
          <w:u w:val="single"/>
        </w:rPr>
        <w:t xml:space="preserve">     </w:t>
      </w:r>
      <w:r>
        <w:rPr>
          <w:rFonts w:hint="eastAsia" w:ascii="方正仿宋_GBK" w:eastAsia="方正仿宋_GBK"/>
          <w:bCs/>
          <w:sz w:val="24"/>
          <w:lang w:val="zh-CN"/>
        </w:rPr>
        <w:t>%计取。除银行电汇、网上银行、数字人民币外，投标人还可选用银行保函、担保公司的保证担保或保险公司的保证保险、等多种形式向采购人缴纳；</w:t>
      </w:r>
    </w:p>
    <w:p>
      <w:pPr>
        <w:spacing w:line="560" w:lineRule="exact"/>
        <w:ind w:firstLine="480"/>
        <w:rPr>
          <w:rFonts w:ascii="方正仿宋_GBK" w:eastAsia="方正仿宋_GBK"/>
          <w:bCs/>
          <w:sz w:val="24"/>
          <w:lang w:val="zh-CN"/>
        </w:rPr>
      </w:pPr>
      <w:r>
        <w:rPr>
          <w:rFonts w:hint="eastAsia" w:ascii="方正仿宋_GBK" w:eastAsia="方正仿宋_GBK"/>
          <w:bCs/>
          <w:sz w:val="24"/>
          <w:lang w:val="zh-CN"/>
        </w:rPr>
        <w:t>履约保证金退还的方式：以银行电汇、网上银行、数字人民币形式缴纳履约保证金的，退回至投标人存款账户或投标人数字人民币账户；以保函、担保、保险等形式缴纳履约保证金的，在保函、担保、保险约定的保证期限届满之日起自行失效；</w:t>
      </w:r>
    </w:p>
    <w:p>
      <w:pPr>
        <w:spacing w:line="560" w:lineRule="exact"/>
        <w:ind w:firstLine="480"/>
        <w:rPr>
          <w:rFonts w:ascii="方正仿宋_GBK" w:eastAsia="方正仿宋_GBK"/>
          <w:bCs/>
          <w:sz w:val="24"/>
          <w:lang w:val="zh-CN"/>
        </w:rPr>
      </w:pPr>
      <w:r>
        <w:rPr>
          <w:rFonts w:hint="eastAsia" w:ascii="方正仿宋_GBK" w:eastAsia="方正仿宋_GBK"/>
          <w:bCs/>
          <w:sz w:val="24"/>
          <w:lang w:val="zh-CN"/>
        </w:rPr>
        <w:t xml:space="preserve">履约保证金退还的条件： </w:t>
      </w:r>
    </w:p>
    <w:p>
      <w:pPr>
        <w:spacing w:line="56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服务类项目，项目履约期满评价合格，出具履约评价报告及履约保证金收据申请退付；</w:t>
      </w:r>
    </w:p>
    <w:p>
      <w:pPr>
        <w:spacing w:line="560" w:lineRule="exact"/>
        <w:ind w:firstLine="480"/>
        <w:rPr>
          <w:rFonts w:ascii="方正仿宋_GBK" w:eastAsia="方正仿宋_GBK"/>
          <w:bCs/>
          <w:sz w:val="24"/>
          <w:lang w:val="zh-CN"/>
        </w:rPr>
      </w:pPr>
      <w:r>
        <w:rPr>
          <w:rFonts w:hint="eastAsia" w:ascii="方正仿宋_GBK" w:eastAsia="方正仿宋_GBK"/>
          <w:bCs/>
          <w:sz w:val="24"/>
          <w:lang w:val="zh-CN"/>
        </w:rPr>
        <w:t>履约保证金退还时间：采购单位收到投标人退付申请后5个工作日内退还；</w:t>
      </w:r>
    </w:p>
    <w:p>
      <w:pPr>
        <w:spacing w:line="560" w:lineRule="exact"/>
        <w:ind w:firstLine="480"/>
        <w:rPr>
          <w:rFonts w:ascii="方正仿宋_GBK" w:eastAsia="方正仿宋_GBK"/>
          <w:bCs/>
          <w:sz w:val="24"/>
          <w:lang w:val="zh-CN"/>
        </w:rPr>
      </w:pPr>
      <w:r>
        <w:rPr>
          <w:rFonts w:hint="eastAsia" w:ascii="方正仿宋_GBK" w:eastAsia="方正仿宋_GBK"/>
          <w:bCs/>
          <w:sz w:val="24"/>
          <w:lang w:val="zh-CN"/>
        </w:rPr>
        <w:t>履约保证金不予退还情形：除不可抗力外，投标人不履行与采购人订立的采购合同的，履约保证金不予退还，给采购人造成的损失超过履约保证金数额的，还应当对超过部分予以赔偿；</w:t>
      </w:r>
    </w:p>
    <w:p>
      <w:pPr>
        <w:spacing w:line="560" w:lineRule="exact"/>
        <w:ind w:firstLine="480"/>
        <w:rPr>
          <w:rFonts w:ascii="方正仿宋_GBK" w:eastAsia="方正仿宋_GBK"/>
          <w:bCs/>
          <w:sz w:val="24"/>
          <w:lang w:val="zh-CN"/>
        </w:rPr>
      </w:pPr>
      <w:r>
        <w:rPr>
          <w:rFonts w:hint="eastAsia" w:ascii="方正仿宋_GBK" w:eastAsia="方正仿宋_GBK"/>
          <w:bCs/>
          <w:sz w:val="24"/>
          <w:lang w:val="zh-CN"/>
        </w:rPr>
        <w:t>逾期退还履约保证金的违约责任：除应当退还履约保证金外，还应当按中国人民银行同期贷款基准利率上浮 20％后的利率支付超期资金占用费，但因投标人自身原因导致无法及时退还的除外。</w:t>
      </w:r>
    </w:p>
    <w:p>
      <w:pPr>
        <w:spacing w:line="500" w:lineRule="exact"/>
        <w:ind w:firstLine="482"/>
        <w:rPr>
          <w:rFonts w:ascii="方正仿宋_GBK" w:eastAsia="方正仿宋_GBK"/>
          <w:bCs/>
          <w:sz w:val="24"/>
        </w:rPr>
      </w:pPr>
      <w:r>
        <w:rPr>
          <w:rFonts w:hint="eastAsia" w:ascii="方正仿宋_GBK" w:eastAsia="方正仿宋_GBK"/>
          <w:bCs/>
          <w:sz w:val="24"/>
        </w:rPr>
        <w:t>本项目支持和鼓励供应商使用江苏政府采购电子履约保函（保险）代替缴纳履约保证金。关于办理流程、偿付等内容详见江苏省政府采购网《关于在全省政府采购领域推行电子履约保函(保险) 的通知》 (苏财购﹝2023﹞150号)。</w:t>
      </w:r>
    </w:p>
    <w:p>
      <w:pPr>
        <w:spacing w:line="500" w:lineRule="exact"/>
        <w:ind w:firstLine="480"/>
        <w:rPr>
          <w:rFonts w:ascii="方正仿宋_GBK" w:hAnsi="方正仿宋_GBK" w:eastAsia="方正仿宋_GBK" w:cs="方正仿宋_GBK"/>
          <w:sz w:val="24"/>
          <w:highlight w:val="white"/>
        </w:rPr>
      </w:pPr>
    </w:p>
    <w:p>
      <w:pPr>
        <w:spacing w:line="500" w:lineRule="exact"/>
        <w:ind w:firstLine="482"/>
        <w:rPr>
          <w:rFonts w:ascii="方正仿宋_GBK" w:hAnsi="方正仿宋_GBK" w:eastAsia="方正仿宋_GBK" w:cs="方正仿宋_GBK"/>
          <w:b/>
          <w:sz w:val="24"/>
          <w:highlight w:val="white"/>
        </w:rPr>
      </w:pPr>
      <w:r>
        <w:rPr>
          <w:rFonts w:hint="eastAsia" w:ascii="方正仿宋_GBK" w:hAnsi="方正仿宋_GBK" w:eastAsia="方正仿宋_GBK" w:cs="方正仿宋_GBK"/>
          <w:b/>
          <w:sz w:val="24"/>
          <w:highlight w:val="white"/>
        </w:rPr>
        <w:t>33、线上融资</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中小微企业供应商可通过中征应收账款融资服务平台（网址：https://www.crcrfsp.com/），凭借中标通知书或政府采购合同向金融机构申请融资。</w:t>
      </w:r>
    </w:p>
    <w:p>
      <w:pPr>
        <w:spacing w:line="500" w:lineRule="exact"/>
        <w:ind w:firstLine="482"/>
        <w:rPr>
          <w:rFonts w:ascii="方正仿宋_GBK" w:hAnsi="方正仿宋_GBK" w:eastAsia="方正仿宋_GBK" w:cs="方正仿宋_GBK"/>
          <w:b/>
          <w:sz w:val="24"/>
          <w:highlight w:val="white"/>
        </w:rPr>
      </w:pPr>
      <w:r>
        <w:rPr>
          <w:rFonts w:hint="eastAsia" w:ascii="方正仿宋_GBK" w:hAnsi="方正仿宋_GBK" w:eastAsia="方正仿宋_GBK" w:cs="方正仿宋_GBK"/>
          <w:b/>
          <w:sz w:val="24"/>
          <w:highlight w:val="white"/>
        </w:rPr>
        <w:t>34、合同履行</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34.1政府采购合同订立后，合同各方不得擅自变更、中止或者终止合同。</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34.2政府采购合同履行中，采购人需追加与合同标的相同的货物、工程或者服务的，在不改变合同其他条款的前提下，可以与中标供应商签订补充合同，但所补充合同的采购金额不得超过原采购金额的10%。</w:t>
      </w:r>
    </w:p>
    <w:p>
      <w:pPr>
        <w:pStyle w:val="195"/>
        <w:outlineLvl w:val="1"/>
        <w:rPr>
          <w:rFonts w:ascii="方正仿宋_GBK" w:hAnsi="方正仿宋_GBK" w:eastAsia="方正仿宋_GBK" w:cs="方正仿宋_GBK"/>
        </w:rPr>
      </w:pPr>
      <w:bookmarkStart w:id="116" w:name="_Toc81575162"/>
      <w:bookmarkStart w:id="117" w:name="_Toc7550"/>
      <w:bookmarkStart w:id="118" w:name="_Toc81575199"/>
      <w:r>
        <w:rPr>
          <w:rFonts w:hint="eastAsia" w:ascii="方正仿宋_GBK" w:hAnsi="方正仿宋_GBK" w:eastAsia="方正仿宋_GBK" w:cs="方正仿宋_GBK"/>
          <w:highlight w:val="white"/>
        </w:rPr>
        <w:t>八、验收及付款</w:t>
      </w:r>
      <w:bookmarkEnd w:id="116"/>
      <w:bookmarkEnd w:id="117"/>
      <w:bookmarkEnd w:id="118"/>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35、验收</w:t>
      </w:r>
    </w:p>
    <w:p>
      <w:pPr>
        <w:spacing w:line="500" w:lineRule="exact"/>
        <w:ind w:firstLine="480"/>
        <w:rPr>
          <w:rFonts w:ascii="方正仿宋_GBK" w:hAnsi="方正仿宋_GBK" w:eastAsia="方正仿宋_GBK" w:cs="方正仿宋_GBK"/>
          <w:color w:val="0000FF"/>
          <w:sz w:val="24"/>
          <w:highlight w:val="green"/>
        </w:rPr>
      </w:pPr>
      <w:bookmarkStart w:id="119" w:name="EBbbb2492ed6b84c9193a6bb6f72a512f3"/>
      <w:r>
        <w:rPr>
          <w:rFonts w:hint="eastAsia" w:ascii="方正仿宋_GBK" w:hAnsi="方正仿宋_GBK" w:eastAsia="方正仿宋_GBK" w:cs="方正仿宋_GBK"/>
          <w:color w:val="000000"/>
          <w:sz w:val="24"/>
          <w:highlight w:val="white"/>
        </w:rPr>
        <w:t>采购人应当组成验收小组，验收人员应当按照政府采购约定的验收标准，对供应商的履约情况开展验收。验收结束后，验收人员应当出具验收报告并签字。政府向社会公众提供的公共服务项目，验收结果应当向社会公告。</w:t>
      </w:r>
      <w:bookmarkEnd w:id="119"/>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36、付款</w:t>
      </w:r>
    </w:p>
    <w:p>
      <w:pPr>
        <w:spacing w:line="500" w:lineRule="exact"/>
        <w:ind w:firstLine="480"/>
        <w:rPr>
          <w:rFonts w:ascii="方正仿宋_GBK" w:hAnsi="方正仿宋_GBK" w:eastAsia="方正仿宋_GBK" w:cs="方正仿宋_GBK"/>
          <w:color w:val="000000"/>
          <w:sz w:val="24"/>
          <w:highlight w:val="white"/>
        </w:rPr>
      </w:pPr>
      <w:r>
        <w:rPr>
          <w:rFonts w:hint="eastAsia" w:ascii="方正仿宋_GBK" w:hAnsi="方正仿宋_GBK" w:eastAsia="方正仿宋_GBK" w:cs="方正仿宋_GBK"/>
          <w:color w:val="000000"/>
          <w:sz w:val="24"/>
          <w:highlight w:val="white"/>
        </w:rPr>
        <w:t>按照以下</w:t>
      </w:r>
      <w:r>
        <w:rPr>
          <w:rFonts w:hint="eastAsia" w:ascii="方正仿宋_GBK" w:hAnsi="方正仿宋_GBK" w:eastAsia="方正仿宋_GBK" w:cs="方正仿宋_GBK"/>
          <w:color w:val="000000"/>
          <w:sz w:val="24"/>
          <w:highlight w:val="white"/>
          <w:u w:val="single"/>
        </w:rPr>
        <w:t>服务</w:t>
      </w:r>
      <w:r>
        <w:rPr>
          <w:rFonts w:hint="eastAsia" w:ascii="方正仿宋_GBK" w:hAnsi="方正仿宋_GBK" w:eastAsia="方正仿宋_GBK" w:cs="方正仿宋_GBK"/>
          <w:color w:val="000000"/>
          <w:sz w:val="24"/>
          <w:highlight w:val="white"/>
        </w:rPr>
        <w:t>类项目确定的付款方式，采购人及时办理付款手续。对于满足合同约定支付条件的，自收到发票后10个工作日内将资金支付到合同约定的供应商账户或供应商数字人民币账户。</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（1）货物类项目</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预付款：合同金额的</w:t>
      </w:r>
      <w:bookmarkStart w:id="120" w:name="EBce9d27beb7984b72b517a4227494c8cc"/>
      <w:r>
        <w:rPr>
          <w:rFonts w:hint="eastAsia" w:ascii="方正仿宋_GBK" w:hAnsi="方正仿宋_GBK" w:eastAsia="方正仿宋_GBK" w:cs="方正仿宋_GBK"/>
          <w:color w:val="000000"/>
          <w:sz w:val="24"/>
          <w:highlight w:val="white"/>
        </w:rPr>
        <w:t>30%</w:t>
      </w:r>
      <w:bookmarkEnd w:id="120"/>
      <w:r>
        <w:rPr>
          <w:rFonts w:hint="eastAsia" w:ascii="方正仿宋_GBK" w:hAnsi="方正仿宋_GBK" w:eastAsia="方正仿宋_GBK" w:cs="方正仿宋_GBK"/>
          <w:sz w:val="24"/>
          <w:highlight w:val="white"/>
        </w:rPr>
        <w:t>，合同签订后按规定支付；</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进度款：</w:t>
      </w:r>
      <w:bookmarkStart w:id="121" w:name="EBf1f8b954f7504a2cb44cef25707c76a6"/>
      <w:bookmarkEnd w:id="121"/>
      <w:r>
        <w:rPr>
          <w:rFonts w:hint="eastAsia" w:ascii="方正仿宋_GBK" w:hAnsi="方正仿宋_GBK" w:eastAsia="方正仿宋_GBK" w:cs="方正仿宋_GBK"/>
          <w:sz w:val="24"/>
          <w:highlight w:val="white"/>
        </w:rPr>
        <w:t>/</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（2）服务类项目</w:t>
      </w:r>
    </w:p>
    <w:p>
      <w:pPr>
        <w:spacing w:line="500" w:lineRule="exact"/>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highlight w:val="white"/>
        </w:rPr>
        <w:t>预付款：</w:t>
      </w:r>
      <w:r>
        <w:rPr>
          <w:rFonts w:hint="eastAsia" w:ascii="方正仿宋_GBK" w:hAnsi="方正仿宋_GBK" w:eastAsia="方正仿宋_GBK" w:cs="方正仿宋_GBK"/>
          <w:sz w:val="24"/>
          <w:szCs w:val="24"/>
        </w:rPr>
        <w:t>采购人约定在合同签订后，采购人在接到中标人票据的10个工作日内，支付合同金额的10%作为预付款。</w:t>
      </w:r>
    </w:p>
    <w:p>
      <w:pPr>
        <w:pStyle w:val="103"/>
        <w:ind w:firstLine="480" w:firstLineChars="200"/>
        <w:rPr>
          <w:rFonts w:ascii="方正仿宋_GBK" w:hAnsi="方正仿宋_GBK" w:eastAsia="方正仿宋_GBK" w:cs="方正仿宋_GBK"/>
          <w:color w:val="000000"/>
          <w:sz w:val="24"/>
          <w:highlight w:val="yellow"/>
          <w:u w:val="single"/>
        </w:rPr>
      </w:pPr>
      <w:r>
        <w:rPr>
          <w:rFonts w:hint="eastAsia" w:ascii="方正仿宋_GBK" w:hAnsi="方正仿宋_GBK" w:eastAsia="方正仿宋_GBK" w:cs="方正仿宋_GBK"/>
          <w:sz w:val="24"/>
          <w:highlight w:val="white"/>
        </w:rPr>
        <w:t>进度款：</w:t>
      </w:r>
      <w:r>
        <w:rPr>
          <w:rFonts w:hint="eastAsia" w:ascii="方正仿宋_GBK" w:hAnsi="方正仿宋_GBK" w:eastAsia="方正仿宋_GBK" w:cs="方正仿宋_GBK"/>
          <w:color w:val="000000"/>
          <w:sz w:val="24"/>
          <w:highlight w:val="yellow"/>
          <w:u w:val="single"/>
        </w:rPr>
        <w:t>采购人按季支付物业服务费，中标人按季根据实际发生的所有物业管理（考核后的）费用开具合法票据，并提供工人工资支付凭证，采购人在接受中标人票据和凭证后的10个工作日内将上一季实际发生的所有物业管理（考核后的）费用支付给中标人。</w:t>
      </w:r>
    </w:p>
    <w:p>
      <w:pPr>
        <w:pStyle w:val="103"/>
        <w:ind w:firstLine="240" w:firstLineChars="100"/>
        <w:rPr>
          <w:rFonts w:ascii="方正仿宋_GBK" w:hAnsi="方正仿宋_GBK" w:eastAsia="方正仿宋_GBK" w:cs="方正仿宋_GBK"/>
          <w:color w:val="000000"/>
          <w:sz w:val="24"/>
          <w:highlight w:val="white"/>
        </w:rPr>
      </w:pPr>
      <w:r>
        <w:rPr>
          <w:rFonts w:hint="eastAsia" w:ascii="方正仿宋_GBK" w:hAnsi="方正仿宋_GBK" w:eastAsia="方正仿宋_GBK" w:cs="方正仿宋_GBK"/>
          <w:color w:val="000000"/>
          <w:sz w:val="24"/>
          <w:highlight w:val="white"/>
        </w:rPr>
        <w:t>注：在签订合同时，中标人明确表示无需预付款或者主动要求降低预付款比例的金额，采购人可不适用前述规定。</w:t>
      </w:r>
    </w:p>
    <w:bookmarkEnd w:id="75"/>
    <w:bookmarkEnd w:id="76"/>
    <w:bookmarkEnd w:id="77"/>
    <w:bookmarkEnd w:id="78"/>
    <w:p>
      <w:pPr>
        <w:pStyle w:val="195"/>
        <w:rPr>
          <w:rFonts w:ascii="方正仿宋_GBK" w:hAnsi="方正仿宋_GBK" w:eastAsia="方正仿宋_GBK" w:cs="方正仿宋_GBK"/>
          <w:highlight w:val="white"/>
        </w:rPr>
      </w:pPr>
      <w:bookmarkStart w:id="122" w:name="_Toc12263"/>
      <w:bookmarkStart w:id="123" w:name="_Toc81575163"/>
      <w:bookmarkStart w:id="124" w:name="_Toc81575200"/>
      <w:bookmarkStart w:id="125" w:name="_Toc200451960"/>
    </w:p>
    <w:p>
      <w:pPr>
        <w:pStyle w:val="195"/>
        <w:outlineLvl w:val="1"/>
        <w:rPr>
          <w:rFonts w:ascii="方正仿宋_GBK" w:hAnsi="方正仿宋_GBK" w:eastAsia="方正仿宋_GBK" w:cs="方正仿宋_GBK"/>
        </w:rPr>
      </w:pPr>
      <w:r>
        <w:rPr>
          <w:rFonts w:hint="eastAsia" w:ascii="方正仿宋_GBK" w:hAnsi="方正仿宋_GBK" w:eastAsia="方正仿宋_GBK" w:cs="方正仿宋_GBK"/>
          <w:highlight w:val="white"/>
        </w:rPr>
        <w:t>九、质疑与投诉</w:t>
      </w:r>
      <w:bookmarkEnd w:id="122"/>
      <w:bookmarkEnd w:id="123"/>
      <w:bookmarkEnd w:id="124"/>
    </w:p>
    <w:p>
      <w:pPr>
        <w:spacing w:line="500" w:lineRule="exact"/>
        <w:ind w:firstLine="482"/>
        <w:rPr>
          <w:rFonts w:ascii="方正仿宋_GBK" w:hAnsi="方正仿宋_GBK" w:eastAsia="方正仿宋_GBK" w:cs="方正仿宋_GBK"/>
          <w:b/>
          <w:sz w:val="24"/>
        </w:rPr>
      </w:pPr>
      <w:r>
        <w:rPr>
          <w:rFonts w:hint="eastAsia" w:ascii="方正仿宋_GBK" w:hAnsi="方正仿宋_GBK" w:eastAsia="方正仿宋_GBK" w:cs="方正仿宋_GBK"/>
          <w:b/>
          <w:sz w:val="24"/>
          <w:highlight w:val="white"/>
        </w:rPr>
        <w:t>37、质疑与投诉</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37.1供应商认为采购文件、采购过程和中标结果使自己的权益受到损害的，可以在知道或者应知其权益受到损害之日起七个工作日内（具体起算时间见37.2），</w:t>
      </w:r>
      <w:r>
        <w:rPr>
          <w:rFonts w:hint="eastAsia" w:ascii="方正仿宋_GBK" w:hAnsi="方正仿宋_GBK" w:eastAsia="方正仿宋_GBK" w:cs="方正仿宋_GBK"/>
          <w:sz w:val="24"/>
          <w:szCs w:val="24"/>
          <w:highlight w:val="white"/>
        </w:rPr>
        <w:t>以书面形式向采购人或者其委托的采购代理机构提出质疑</w:t>
      </w:r>
      <w:r>
        <w:rPr>
          <w:rFonts w:hint="eastAsia" w:ascii="方正仿宋_GBK" w:hAnsi="方正仿宋_GBK" w:eastAsia="方正仿宋_GBK" w:cs="方正仿宋_GBK"/>
          <w:sz w:val="24"/>
          <w:highlight w:val="white"/>
        </w:rPr>
        <w:t>。质疑超出采购机构代理范围的，供应商应当向采购人提出。</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本项目接收质疑函的方式：</w:t>
      </w:r>
      <w:bookmarkStart w:id="126" w:name="EB56bd2a40e102476eadbb1fc6a9202461"/>
      <w:bookmarkEnd w:id="126"/>
      <w:r>
        <w:rPr>
          <w:rFonts w:hint="eastAsia" w:ascii="方正仿宋_GBK" w:hAnsi="方正仿宋_GBK" w:eastAsia="方正仿宋_GBK" w:cs="方正仿宋_GBK"/>
          <w:color w:val="000000"/>
          <w:sz w:val="24"/>
          <w:highlight w:val="white"/>
        </w:rPr>
        <w:t>现场接收或邮寄接收。</w:t>
      </w:r>
    </w:p>
    <w:p>
      <w:pPr>
        <w:spacing w:line="500" w:lineRule="exact"/>
        <w:ind w:firstLine="480"/>
        <w:rPr>
          <w:rFonts w:ascii="方正仿宋_GBK" w:hAnsi="方正仿宋_GBK" w:eastAsia="方正仿宋_GBK" w:cs="方正仿宋_GBK"/>
          <w:sz w:val="24"/>
          <w:highlight w:val="white"/>
          <w:u w:val="single"/>
        </w:rPr>
      </w:pPr>
      <w:r>
        <w:rPr>
          <w:rFonts w:hint="eastAsia" w:ascii="方正仿宋_GBK" w:hAnsi="方正仿宋_GBK" w:eastAsia="方正仿宋_GBK" w:cs="方正仿宋_GBK"/>
          <w:sz w:val="24"/>
          <w:highlight w:val="white"/>
        </w:rPr>
        <w:t>联系部门：</w:t>
      </w:r>
      <w:bookmarkStart w:id="127" w:name="EB587bd491a3fd493c8e729d1eaa56203a"/>
      <w:bookmarkEnd w:id="127"/>
      <w:r>
        <w:rPr>
          <w:rFonts w:hint="eastAsia" w:ascii="方正仿宋_GBK" w:hAnsi="方正仿宋_GBK" w:eastAsia="方正仿宋_GBK" w:cs="方正仿宋_GBK"/>
          <w:sz w:val="24"/>
          <w:highlight w:val="white"/>
          <w:u w:val="single"/>
        </w:rPr>
        <w:t>宿迁市洋河新区教育工作领导小组办公室</w:t>
      </w:r>
    </w:p>
    <w:p>
      <w:pPr>
        <w:spacing w:line="500" w:lineRule="exact"/>
        <w:ind w:firstLine="480"/>
        <w:rPr>
          <w:rFonts w:ascii="方正仿宋_GBK" w:hAnsi="方正仿宋_GBK" w:eastAsia="方正仿宋_GBK" w:cs="方正仿宋_GBK"/>
          <w:sz w:val="24"/>
          <w:highlight w:val="green"/>
        </w:rPr>
      </w:pPr>
      <w:r>
        <w:rPr>
          <w:rFonts w:hint="eastAsia" w:ascii="方正仿宋_GBK" w:hAnsi="方正仿宋_GBK" w:eastAsia="方正仿宋_GBK" w:cs="方正仿宋_GBK"/>
          <w:sz w:val="24"/>
          <w:highlight w:val="white"/>
        </w:rPr>
        <w:t>联系电话</w:t>
      </w:r>
      <w:r>
        <w:rPr>
          <w:rFonts w:hint="eastAsia" w:ascii="方正仿宋_GBK" w:hAnsi="方正仿宋_GBK" w:eastAsia="方正仿宋_GBK" w:cs="方正仿宋_GBK"/>
          <w:sz w:val="24"/>
          <w:highlight w:val="green"/>
          <w:u w:val="single"/>
        </w:rPr>
        <w:t>：</w:t>
      </w:r>
      <w:bookmarkStart w:id="128" w:name="EB5b41b423f63941cebdd46b3e34fcab34"/>
      <w:bookmarkEnd w:id="128"/>
      <w:r>
        <w:rPr>
          <w:rFonts w:hint="eastAsia" w:ascii="方正仿宋_GBK" w:hAnsi="方正仿宋_GBK" w:eastAsia="方正仿宋_GBK" w:cs="方正仿宋_GBK"/>
          <w:sz w:val="24"/>
          <w:highlight w:val="green"/>
          <w:u w:val="single"/>
        </w:rPr>
        <w:t xml:space="preserve">王其兵  </w:t>
      </w:r>
      <w:r>
        <w:rPr>
          <w:rFonts w:ascii="方正仿宋_GBK" w:hAnsi="方正仿宋_GBK" w:eastAsia="方正仿宋_GBK" w:cs="方正仿宋_GBK"/>
          <w:sz w:val="24"/>
          <w:highlight w:val="green"/>
          <w:u w:val="single"/>
        </w:rPr>
        <w:t>0527-82668108</w:t>
      </w:r>
      <w:r>
        <w:rPr>
          <w:rFonts w:hint="eastAsia" w:ascii="方正仿宋_GBK" w:hAnsi="方正仿宋_GBK" w:eastAsia="方正仿宋_GBK" w:cs="方正仿宋_GBK"/>
          <w:sz w:val="24"/>
          <w:highlight w:val="green"/>
          <w:u w:val="single"/>
        </w:rPr>
        <w:t xml:space="preserve"> </w:t>
      </w:r>
    </w:p>
    <w:p>
      <w:pPr>
        <w:spacing w:line="500" w:lineRule="exact"/>
        <w:ind w:firstLine="480"/>
        <w:rPr>
          <w:rFonts w:ascii="方正仿宋_GBK" w:hAnsi="方正仿宋_GBK" w:eastAsia="方正仿宋_GBK" w:cs="方正仿宋_GBK"/>
          <w:sz w:val="24"/>
          <w:highlight w:val="white"/>
          <w:u w:val="single"/>
        </w:rPr>
      </w:pPr>
      <w:r>
        <w:rPr>
          <w:rFonts w:hint="eastAsia" w:ascii="方正仿宋_GBK" w:hAnsi="方正仿宋_GBK" w:eastAsia="方正仿宋_GBK" w:cs="方正仿宋_GBK"/>
          <w:sz w:val="24"/>
          <w:highlight w:val="white"/>
        </w:rPr>
        <w:t>通讯地址：</w:t>
      </w:r>
      <w:bookmarkStart w:id="129" w:name="EB572fd27c0a4b41898944b1b4aad84cb2"/>
      <w:bookmarkEnd w:id="129"/>
      <w:r>
        <w:rPr>
          <w:rFonts w:hint="eastAsia" w:ascii="方正仿宋_GBK" w:hAnsi="方正仿宋_GBK" w:eastAsia="方正仿宋_GBK" w:cs="方正仿宋_GBK"/>
          <w:sz w:val="24"/>
          <w:highlight w:val="white"/>
          <w:u w:val="single"/>
        </w:rPr>
        <w:t>洋河人民医院对面洋河旅游集散中心教育办</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37.2供应商应知其权益受到损害之日，是指：</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（1）对本项目采购文件提出质疑的，为获取采购文件之日或者采购文件公告期限届满之日；</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（2）对本项目采购过程提出质疑的，为各采购程序环节结束之日；</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（3）对本项目中标或者成交结果提出质疑的，为中标或者成交结果公告期限届满之日。</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37.3质疑供应商应当是参与所质疑项目采购活动的供应商。潜在供应商已依法获取其可质疑的采购文件的，方可对该文件提出质疑。供应商在法定质疑期内应一次性提出针对同一采购程序环节的质疑。</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37.4供应商提出质疑应当提交质疑函和必要的证明材料。质疑函的必备内容：</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（1）供应商的姓名或者名称、地址、邮编、联系人及联系电话；</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（2）质疑项目的名称、编号；</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（3）获取采购文件的时间。</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（4）具体、明确的质疑事项和质疑事项相关的请求；</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（5）事实依据；</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（6）必要的法律依据；</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（7）提出质疑的日期；</w:t>
      </w:r>
    </w:p>
    <w:p>
      <w:pPr>
        <w:spacing w:line="500" w:lineRule="exact"/>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highlight w:val="white"/>
        </w:rPr>
        <w:t>（8）供应商为自然人的，由本人签字；供应商为法人或者其他组织的，应当由法定代表人、主要负责人，或者其授权代表签字或者盖章，并加盖公章。</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9）供应商委托代理人进行质疑的，代理人同时应当提交供应商签署的授权委托书。授权委托书载明代理人的姓名或者名称、代理事项、具体权限、期限和相关事项。供应商为自然人的，授权委托书应当由本人签字；供应商为法人或者其他组织的，授权委托书应当由法定代表人、主要负责人签字或者盖章，并加盖单位公章。</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37.5采购人、采购代理机构在收到质疑函后7个工作日内作出答复，并以书面形式通知质疑供应商和其他有关供应商，但质疑答复的内容不涉及商业秘密。</w:t>
      </w:r>
    </w:p>
    <w:p>
      <w:pPr>
        <w:spacing w:line="500" w:lineRule="exact"/>
        <w:ind w:firstLine="480"/>
        <w:rPr>
          <w:rFonts w:ascii="方正仿宋_GBK" w:hAnsi="方正仿宋_GBK" w:eastAsia="方正仿宋_GBK" w:cs="方正仿宋_GBK"/>
          <w:sz w:val="24"/>
          <w:highlight w:val="white"/>
        </w:rPr>
      </w:pPr>
      <w:r>
        <w:rPr>
          <w:rFonts w:hint="eastAsia" w:ascii="方正仿宋_GBK" w:hAnsi="方正仿宋_GBK" w:eastAsia="方正仿宋_GBK" w:cs="方正仿宋_GBK"/>
          <w:sz w:val="24"/>
          <w:highlight w:val="white"/>
        </w:rPr>
        <w:t>37.6质疑供应商对采购人、采购代理机构的答复不满意，或者采购人、采购代理机构未在规定时间内作出答复的，可以在答复期满后15个工作日内向同级财政部门提起投诉。</w:t>
      </w:r>
    </w:p>
    <w:p>
      <w:pPr>
        <w:snapToGrid w:val="0"/>
        <w:spacing w:line="560" w:lineRule="exact"/>
        <w:ind w:firstLine="480" w:firstLineChars="200"/>
        <w:rPr>
          <w:sz w:val="24"/>
          <w:szCs w:val="24"/>
        </w:rPr>
      </w:pPr>
    </w:p>
    <w:bookmarkEnd w:id="125"/>
    <w:p>
      <w:pPr>
        <w:spacing w:afterLines="100"/>
        <w:jc w:val="center"/>
        <w:outlineLvl w:val="0"/>
        <w:rPr>
          <w:rFonts w:ascii="宋体" w:hAnsi="宋体" w:cs="宋体"/>
          <w:b/>
          <w:sz w:val="44"/>
          <w:szCs w:val="44"/>
          <w:highlight w:val="white"/>
        </w:rPr>
      </w:pPr>
      <w:bookmarkStart w:id="130" w:name="_Toc16938558"/>
      <w:bookmarkStart w:id="131" w:name="_Toc513029242"/>
      <w:bookmarkStart w:id="132" w:name="_Toc120614221"/>
      <w:bookmarkStart w:id="133" w:name="_Toc20823314"/>
      <w:bookmarkStart w:id="134" w:name="_Toc479757207"/>
      <w:r>
        <w:rPr>
          <w:rFonts w:hint="eastAsia" w:eastAsia="黑体"/>
          <w:bCs/>
          <w:sz w:val="44"/>
        </w:rPr>
        <w:br w:type="page"/>
      </w:r>
      <w:bookmarkStart w:id="135" w:name="_Toc27869"/>
      <w:bookmarkStart w:id="136" w:name="_Toc81575164"/>
      <w:bookmarkStart w:id="137" w:name="_Toc11604"/>
      <w:bookmarkStart w:id="138" w:name="_Toc28162"/>
      <w:bookmarkStart w:id="139" w:name="_Toc81575201"/>
      <w:r>
        <w:rPr>
          <w:rFonts w:hint="eastAsia" w:ascii="黑体" w:hAnsi="黑体" w:eastAsia="黑体" w:cs="黑体"/>
          <w:b/>
          <w:sz w:val="44"/>
          <w:szCs w:val="44"/>
          <w:highlight w:val="white"/>
        </w:rPr>
        <w:t>第三章 资格审查及评标办法</w:t>
      </w:r>
      <w:bookmarkEnd w:id="135"/>
      <w:bookmarkEnd w:id="136"/>
      <w:bookmarkEnd w:id="137"/>
      <w:bookmarkEnd w:id="138"/>
      <w:bookmarkEnd w:id="139"/>
    </w:p>
    <w:p>
      <w:pPr>
        <w:spacing w:line="440" w:lineRule="exact"/>
        <w:ind w:firstLine="562"/>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一、资格审查</w:t>
      </w:r>
    </w:p>
    <w:p>
      <w:pPr>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资格审查人员按照下列指标对各投标人的资格进行审查，未通过审查的为无效标，不参与评标</w:t>
      </w:r>
    </w:p>
    <w:tbl>
      <w:tblPr>
        <w:tblStyle w:val="43"/>
        <w:tblW w:w="8680" w:type="dxa"/>
        <w:tblInd w:w="-6"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4340"/>
        <w:gridCol w:w="434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23" w:hRule="atLeast"/>
        </w:trPr>
        <w:tc>
          <w:tcPr>
            <w:tcW w:w="4340" w:type="dxa"/>
            <w:tcBorders>
              <w:top w:val="single" w:color="auto" w:sz="6" w:space="0"/>
              <w:left w:val="single" w:color="auto" w:sz="6" w:space="0"/>
              <w:bottom w:val="single" w:color="auto" w:sz="6" w:space="0"/>
              <w:right w:val="single" w:color="auto" w:sz="6" w:space="0"/>
            </w:tcBorders>
            <w:vAlign w:val="center"/>
          </w:tcPr>
          <w:p>
            <w:pPr>
              <w:ind w:firstLine="480"/>
              <w:jc w:val="center"/>
              <w:rPr>
                <w:rFonts w:ascii="宋体" w:hAnsi="宋体" w:cs="宋体"/>
              </w:rPr>
            </w:pPr>
            <w:r>
              <w:rPr>
                <w:rFonts w:hint="eastAsia" w:ascii="宋体" w:hAnsi="宋体" w:cs="宋体"/>
              </w:rPr>
              <w:t>资格审查因素</w:t>
            </w:r>
          </w:p>
        </w:tc>
        <w:tc>
          <w:tcPr>
            <w:tcW w:w="4340" w:type="dxa"/>
            <w:tcBorders>
              <w:top w:val="single" w:color="auto" w:sz="6" w:space="0"/>
              <w:left w:val="single" w:color="auto" w:sz="6" w:space="0"/>
              <w:bottom w:val="single" w:color="auto" w:sz="6" w:space="0"/>
              <w:right w:val="single" w:color="auto" w:sz="6" w:space="0"/>
            </w:tcBorders>
            <w:vAlign w:val="center"/>
          </w:tcPr>
          <w:p>
            <w:pPr>
              <w:ind w:firstLine="480"/>
              <w:jc w:val="center"/>
              <w:rPr>
                <w:rFonts w:ascii="宋体" w:hAnsi="宋体" w:cs="宋体"/>
              </w:rPr>
            </w:pPr>
            <w:r>
              <w:rPr>
                <w:rFonts w:hint="eastAsia" w:ascii="宋体" w:hAnsi="宋体" w:cs="宋体"/>
              </w:rPr>
              <w:t>审查标准</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23" w:hRule="atLeast"/>
        </w:trPr>
        <w:tc>
          <w:tcPr>
            <w:tcW w:w="434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投标声明及承诺函</w:t>
            </w:r>
          </w:p>
        </w:tc>
        <w:tc>
          <w:tcPr>
            <w:tcW w:w="434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符合招标文件要求</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23" w:hRule="atLeast"/>
        </w:trPr>
        <w:tc>
          <w:tcPr>
            <w:tcW w:w="434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信用信息</w:t>
            </w:r>
          </w:p>
        </w:tc>
        <w:tc>
          <w:tcPr>
            <w:tcW w:w="434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符合招标文件要求</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23" w:hRule="atLeast"/>
        </w:trPr>
        <w:tc>
          <w:tcPr>
            <w:tcW w:w="434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bookmarkStart w:id="140" w:name="EB9af8278fd1df4f8591f0fad951f64ddb"/>
            <w:r>
              <w:rPr>
                <w:rFonts w:hint="eastAsia" w:ascii="宋体" w:hAnsi="宋体" w:cs="宋体"/>
              </w:rPr>
              <w:t>中小企业或残疾人福利性单位声明函，或监狱企业证明文件</w:t>
            </w:r>
          </w:p>
        </w:tc>
        <w:tc>
          <w:tcPr>
            <w:tcW w:w="434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符合招标文件要求</w:t>
            </w:r>
            <w:bookmarkEnd w:id="140"/>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23" w:hRule="atLeast"/>
        </w:trPr>
        <w:tc>
          <w:tcPr>
            <w:tcW w:w="434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联合体投标</w:t>
            </w:r>
          </w:p>
        </w:tc>
        <w:tc>
          <w:tcPr>
            <w:tcW w:w="434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不接受联合体投标</w:t>
            </w:r>
          </w:p>
        </w:tc>
      </w:tr>
    </w:tbl>
    <w:p>
      <w:pPr>
        <w:ind w:firstLine="480"/>
        <w:rPr>
          <w:rFonts w:ascii="方正仿宋_GBK" w:hAnsi="方正仿宋_GBK" w:eastAsia="方正仿宋_GBK" w:cs="方正仿宋_GBK"/>
          <w:sz w:val="24"/>
          <w:szCs w:val="24"/>
        </w:rPr>
      </w:pPr>
    </w:p>
    <w:p>
      <w:pPr>
        <w:spacing w:line="440" w:lineRule="exact"/>
        <w:ind w:firstLine="562"/>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二、评分办法—综合评分法</w:t>
      </w:r>
    </w:p>
    <w:p>
      <w:pPr>
        <w:spacing w:line="440" w:lineRule="atLeast"/>
        <w:ind w:firstLine="482"/>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1、评标办法：</w:t>
      </w:r>
      <w:r>
        <w:rPr>
          <w:rFonts w:hint="eastAsia" w:ascii="方正仿宋_GBK" w:hAnsi="方正仿宋_GBK" w:eastAsia="方正仿宋_GBK" w:cs="方正仿宋_GBK"/>
          <w:sz w:val="24"/>
          <w:szCs w:val="24"/>
        </w:rPr>
        <w:t>本项目采用综合评分办法，评标委员会严格按照招标文件规定的评分标准和要求，对各投标文件进行综合评审，按评审后得分由高到低顺序对投标人进行排序。得分相同的，按投标报价由低到高顺序排序。得分且投标报价相同的并列。</w:t>
      </w:r>
    </w:p>
    <w:p>
      <w:pPr>
        <w:spacing w:line="440" w:lineRule="atLeast"/>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评标委员会根据评审后投标人排序推荐中标候选人。投标文件满足招标文件全部实质性要求，且评审后排序第一的投标人为第一中标候选人，依次类推。</w:t>
      </w:r>
    </w:p>
    <w:p>
      <w:pPr>
        <w:spacing w:line="440" w:lineRule="atLeast"/>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综合评分保留至小数点后两位。</w:t>
      </w:r>
    </w:p>
    <w:p>
      <w:pPr>
        <w:spacing w:line="440" w:lineRule="atLeast"/>
        <w:ind w:firstLine="482"/>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2、符合性审查。</w:t>
      </w:r>
      <w:r>
        <w:rPr>
          <w:rFonts w:hint="eastAsia" w:ascii="方正仿宋_GBK" w:hAnsi="方正仿宋_GBK" w:eastAsia="方正仿宋_GBK" w:cs="方正仿宋_GBK"/>
          <w:sz w:val="24"/>
          <w:szCs w:val="24"/>
        </w:rPr>
        <w:t>评标委员会首先按照下列指标对各投标人的投标文件进行符合性审查，未通过审查的为无效标，不再参与评审。</w:t>
      </w:r>
    </w:p>
    <w:tbl>
      <w:tblPr>
        <w:tblStyle w:val="43"/>
        <w:tblW w:w="8828" w:type="dxa"/>
        <w:tblInd w:w="-7"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4364"/>
        <w:gridCol w:w="4464"/>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c>
          <w:tcPr>
            <w:tcW w:w="4364" w:type="dxa"/>
            <w:tcBorders>
              <w:top w:val="single" w:color="auto" w:sz="6" w:space="0"/>
              <w:left w:val="single" w:color="auto" w:sz="6" w:space="0"/>
              <w:bottom w:val="single" w:color="auto" w:sz="6" w:space="0"/>
              <w:right w:val="single" w:color="auto" w:sz="6" w:space="0"/>
            </w:tcBorders>
            <w:vAlign w:val="center"/>
          </w:tcPr>
          <w:p>
            <w:pPr>
              <w:ind w:firstLine="480"/>
              <w:jc w:val="center"/>
              <w:rPr>
                <w:rFonts w:ascii="宋体" w:hAnsi="宋体" w:cs="宋体"/>
              </w:rPr>
            </w:pPr>
            <w:r>
              <w:rPr>
                <w:rFonts w:hint="eastAsia" w:ascii="宋体" w:hAnsi="宋体" w:cs="宋体"/>
              </w:rPr>
              <w:t>符合性审查因素</w:t>
            </w:r>
          </w:p>
        </w:tc>
        <w:tc>
          <w:tcPr>
            <w:tcW w:w="4464" w:type="dxa"/>
            <w:tcBorders>
              <w:top w:val="single" w:color="auto" w:sz="6" w:space="0"/>
              <w:left w:val="single" w:color="auto" w:sz="6" w:space="0"/>
              <w:bottom w:val="single" w:color="auto" w:sz="6" w:space="0"/>
              <w:right w:val="single" w:color="auto" w:sz="6" w:space="0"/>
            </w:tcBorders>
            <w:vAlign w:val="center"/>
          </w:tcPr>
          <w:p>
            <w:pPr>
              <w:ind w:firstLine="480"/>
              <w:jc w:val="center"/>
              <w:rPr>
                <w:rFonts w:ascii="宋体" w:hAnsi="宋体" w:cs="宋体"/>
              </w:rPr>
            </w:pPr>
            <w:r>
              <w:rPr>
                <w:rFonts w:hint="eastAsia" w:ascii="宋体" w:hAnsi="宋体" w:cs="宋体"/>
              </w:rPr>
              <w:t>审查标准</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c>
          <w:tcPr>
            <w:tcW w:w="4364"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法人授权书</w:t>
            </w:r>
          </w:p>
        </w:tc>
        <w:tc>
          <w:tcPr>
            <w:tcW w:w="4464"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符合招标文件要求</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c>
          <w:tcPr>
            <w:tcW w:w="4364"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人员配备需求承诺函</w:t>
            </w:r>
          </w:p>
        </w:tc>
        <w:tc>
          <w:tcPr>
            <w:tcW w:w="4464"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符合招标文件要求</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297" w:hRule="atLeast"/>
        </w:trPr>
        <w:tc>
          <w:tcPr>
            <w:tcW w:w="4364"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其他</w:t>
            </w:r>
          </w:p>
        </w:tc>
        <w:tc>
          <w:tcPr>
            <w:tcW w:w="4464"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符合招标文件要求</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297" w:hRule="atLeast"/>
        </w:trPr>
        <w:tc>
          <w:tcPr>
            <w:tcW w:w="4364"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开标一览表及投标报价</w:t>
            </w:r>
          </w:p>
        </w:tc>
        <w:tc>
          <w:tcPr>
            <w:tcW w:w="4464"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 xml:space="preserve"> 符合招标文件要求</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trHeight w:val="297" w:hRule="atLeast"/>
        </w:trPr>
        <w:tc>
          <w:tcPr>
            <w:tcW w:w="4364"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技术标准和要求</w:t>
            </w:r>
          </w:p>
        </w:tc>
        <w:tc>
          <w:tcPr>
            <w:tcW w:w="4464"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 xml:space="preserve"> 符合招标文件要求</w:t>
            </w:r>
          </w:p>
        </w:tc>
      </w:tr>
    </w:tbl>
    <w:p>
      <w:pPr>
        <w:spacing w:line="440" w:lineRule="exact"/>
        <w:ind w:firstLine="482"/>
        <w:rPr>
          <w:rFonts w:ascii="方正仿宋_GBK" w:hAnsi="方正仿宋_GBK" w:eastAsia="方正仿宋_GBK" w:cs="方正仿宋_GBK"/>
          <w:b/>
          <w:bCs/>
          <w:sz w:val="24"/>
          <w:szCs w:val="24"/>
        </w:rPr>
      </w:pPr>
    </w:p>
    <w:p>
      <w:pPr>
        <w:spacing w:line="440" w:lineRule="exact"/>
        <w:ind w:firstLine="482" w:firstLineChars="200"/>
        <w:rPr>
          <w:rFonts w:eastAsia="黑体"/>
          <w:bCs/>
          <w:sz w:val="44"/>
        </w:rPr>
      </w:pPr>
      <w:r>
        <w:rPr>
          <w:rFonts w:hint="eastAsia" w:ascii="方正仿宋_GBK" w:hAnsi="方正仿宋_GBK" w:eastAsia="方正仿宋_GBK" w:cs="方正仿宋_GBK"/>
          <w:b/>
          <w:bCs/>
          <w:sz w:val="24"/>
          <w:szCs w:val="24"/>
        </w:rPr>
        <w:t>3、详细评审</w:t>
      </w:r>
      <w:r>
        <w:rPr>
          <w:rFonts w:hint="eastAsia" w:ascii="方正仿宋_GBK" w:hAnsi="方正仿宋_GBK" w:eastAsia="方正仿宋_GBK" w:cs="方正仿宋_GBK"/>
          <w:sz w:val="24"/>
          <w:szCs w:val="24"/>
        </w:rPr>
        <w:t>。评标委员会按照招标文件规定的评分标准，对各投标文件进行详细评审打分。评标委员会组长对各评审专家的打分情况进行复核无误后形成评审报告。</w:t>
      </w:r>
    </w:p>
    <w:tbl>
      <w:tblPr>
        <w:tblStyle w:val="43"/>
        <w:tblW w:w="8860" w:type="dxa"/>
        <w:tblInd w:w="-7"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597"/>
        <w:gridCol w:w="1947"/>
        <w:gridCol w:w="886"/>
        <w:gridCol w:w="4430"/>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3544"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rPr>
            </w:pPr>
            <w:r>
              <w:rPr>
                <w:rFonts w:hint="eastAsia" w:ascii="宋体" w:hAnsi="宋体" w:cs="宋体"/>
              </w:rPr>
              <w:t>评审因素</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rPr>
            </w:pPr>
            <w:r>
              <w:rPr>
                <w:rFonts w:hint="eastAsia" w:ascii="宋体" w:hAnsi="宋体" w:cs="宋体"/>
              </w:rPr>
              <w:t>分数</w:t>
            </w:r>
          </w:p>
        </w:tc>
        <w:tc>
          <w:tcPr>
            <w:tcW w:w="443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rPr>
            </w:pPr>
            <w:r>
              <w:rPr>
                <w:rFonts w:hint="eastAsia" w:ascii="宋体" w:hAnsi="宋体" w:cs="宋体"/>
              </w:rPr>
              <w:t>评审标准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597"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kern w:val="0"/>
              </w:rPr>
              <w:t>报价分</w:t>
            </w:r>
          </w:p>
        </w:tc>
        <w:tc>
          <w:tcPr>
            <w:tcW w:w="1947"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投</w:t>
            </w:r>
            <w:r>
              <w:rPr>
                <w:rFonts w:hint="eastAsia" w:ascii="宋体" w:hAnsi="宋体" w:cs="宋体"/>
                <w:kern w:val="0"/>
              </w:rPr>
              <w:t>标报价</w:t>
            </w:r>
          </w:p>
        </w:tc>
        <w:tc>
          <w:tcPr>
            <w:tcW w:w="886"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15.00分</w:t>
            </w:r>
          </w:p>
        </w:tc>
        <w:tc>
          <w:tcPr>
            <w:tcW w:w="4430" w:type="dxa"/>
            <w:tcBorders>
              <w:top w:val="single" w:color="auto" w:sz="6" w:space="0"/>
              <w:left w:val="single" w:color="auto" w:sz="6" w:space="0"/>
              <w:bottom w:val="single" w:color="auto" w:sz="6" w:space="0"/>
              <w:right w:val="single" w:color="auto" w:sz="6" w:space="0"/>
            </w:tcBorders>
            <w:vAlign w:val="center"/>
          </w:tcPr>
          <w:p>
            <w:pPr>
              <w:pStyle w:val="15"/>
              <w:rPr>
                <w:rFonts w:ascii="宋体" w:hAnsi="宋体" w:cs="宋体"/>
              </w:rPr>
            </w:pPr>
            <w:r>
              <w:rPr>
                <w:rFonts w:hint="eastAsia" w:ascii="宋体" w:hAnsi="宋体" w:cs="宋体"/>
              </w:rPr>
              <w:t>采用低价优先法计算，即满足招标文件要求且投标价格最低的投标报价为评标基准价，其价格分为满分。其他投标人投标报价得分＝（评标基准价/投标报价）*15。</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597" w:type="dxa"/>
            <w:vMerge w:val="restart"/>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企业经营业绩、信誉</w:t>
            </w:r>
          </w:p>
        </w:tc>
        <w:tc>
          <w:tcPr>
            <w:tcW w:w="1947"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企业业绩</w:t>
            </w:r>
          </w:p>
        </w:tc>
        <w:tc>
          <w:tcPr>
            <w:tcW w:w="886"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12.00分</w:t>
            </w:r>
          </w:p>
        </w:tc>
        <w:tc>
          <w:tcPr>
            <w:tcW w:w="443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投标人自2021年1月1日以来（以合同签订时间为准），承担过类似本项目业绩的，每提供一个得4分，最高得12分。 注：1.投标文件中须同时提供中标（成交）通知书和合同原件电子件，提供的资料应能够明确反映出投标人名称、签订时间、服务内容等，未提供、提供不全或提供不清晰的不得分；2.投标人提供的业绩将随中标结果同步公开。</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597" w:type="dxa"/>
            <w:vMerge w:val="continue"/>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p>
        </w:tc>
        <w:tc>
          <w:tcPr>
            <w:tcW w:w="1947"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企业荣誉</w:t>
            </w:r>
          </w:p>
        </w:tc>
        <w:tc>
          <w:tcPr>
            <w:tcW w:w="886"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12.00分</w:t>
            </w:r>
          </w:p>
        </w:tc>
        <w:tc>
          <w:tcPr>
            <w:tcW w:w="443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 xml:space="preserve">投标人具有有效期内的质量管理体系认证证书、环境管理体系认证证书、职业健康管理体系认证证书的，每有1个得2分,本项最高得6分； </w:t>
            </w:r>
          </w:p>
          <w:p>
            <w:pPr>
              <w:jc w:val="left"/>
              <w:rPr>
                <w:rFonts w:ascii="宋体" w:hAnsi="宋体" w:cs="宋体"/>
              </w:rPr>
            </w:pPr>
            <w:r>
              <w:rPr>
                <w:rFonts w:hint="eastAsia" w:ascii="宋体" w:hAnsi="宋体" w:cs="宋体"/>
              </w:rPr>
              <w:t>投标人自2021年1月1日以来（以获奖日期为准），获得过市级及以上行政主管部门表彰或荣誉（须与本项目标的内容相关）的，每有一个得3分，本项最高得6分。</w:t>
            </w:r>
          </w:p>
          <w:p>
            <w:pPr>
              <w:jc w:val="left"/>
              <w:rPr>
                <w:rFonts w:ascii="宋体" w:hAnsi="宋体" w:cs="宋体"/>
              </w:rPr>
            </w:pPr>
            <w:r>
              <w:rPr>
                <w:rFonts w:hint="eastAsia" w:ascii="宋体" w:hAnsi="宋体" w:cs="宋体"/>
              </w:rPr>
              <w:t>注:1.投标文件中须提供相关证书及表彰或荣誉的证明材料原件电子件,否则不得分；2.投标人提供的证书及表彰或荣誉将随中标结果同步公开。</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597" w:type="dxa"/>
            <w:vMerge w:val="continue"/>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p>
        </w:tc>
        <w:tc>
          <w:tcPr>
            <w:tcW w:w="1947"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项目组人员配备实力</w:t>
            </w:r>
          </w:p>
        </w:tc>
        <w:tc>
          <w:tcPr>
            <w:tcW w:w="886"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4.00分</w:t>
            </w:r>
          </w:p>
        </w:tc>
        <w:tc>
          <w:tcPr>
            <w:tcW w:w="443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 xml:space="preserve">本项目拟投入保洁主管，具有大专及以上学历得 4分，本项最高得4分。 </w:t>
            </w:r>
          </w:p>
          <w:p>
            <w:pPr>
              <w:jc w:val="left"/>
              <w:rPr>
                <w:rFonts w:ascii="宋体" w:hAnsi="宋体" w:cs="宋体"/>
              </w:rPr>
            </w:pPr>
            <w:r>
              <w:rPr>
                <w:rFonts w:hint="eastAsia" w:ascii="宋体" w:hAnsi="宋体" w:cs="宋体"/>
              </w:rPr>
              <w:t>注：1.投标文件中须提供学历证书原件电子件；2.须为本单位人员，且在投标时投标人须提供近六个月以来任意一个月本单位为其办理的养老保险或医疗保险缴纳证明原件电子件（证明以主管部门出具的为准）；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597" w:type="dxa"/>
            <w:vMerge w:val="restart"/>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项目实施方案</w:t>
            </w:r>
          </w:p>
        </w:tc>
        <w:tc>
          <w:tcPr>
            <w:tcW w:w="1947"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服务方案</w:t>
            </w:r>
          </w:p>
        </w:tc>
        <w:tc>
          <w:tcPr>
            <w:tcW w:w="886"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8.00分</w:t>
            </w:r>
          </w:p>
        </w:tc>
        <w:tc>
          <w:tcPr>
            <w:tcW w:w="443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根据各投标人服务方案完整性、齐全性（主要管理技术措施、主要管理方法、其他管理措施）等内容进行打分:方案全面、优于采购需求的得8分，方案基本完整、满足采购需求的得6分，方案略有缺陷经后期优化后可以完成采购需求的得4分，没有内容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597" w:type="dxa"/>
            <w:vMerge w:val="continue"/>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p>
        </w:tc>
        <w:tc>
          <w:tcPr>
            <w:tcW w:w="1947"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保洁管理</w:t>
            </w:r>
          </w:p>
        </w:tc>
        <w:tc>
          <w:tcPr>
            <w:tcW w:w="886"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8.00分</w:t>
            </w:r>
          </w:p>
        </w:tc>
        <w:tc>
          <w:tcPr>
            <w:tcW w:w="443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根据投标人提供针对本项目制定保洁人员分配方案、保洁工作操作规范和流程、看护保洁（校园环境、教学楼及行政楼厕所、宿舍、公共卫生间等）、以及所有节假日、活动期间的保洁方案等进行打分。方案全面、优于采购需求的得8分；方案基本完整、满足采购需求的得6分；方案略有缺陷、经后期优化后可以完成采购需求的得4分；没有内容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597" w:type="dxa"/>
            <w:vMerge w:val="continue"/>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p>
        </w:tc>
        <w:tc>
          <w:tcPr>
            <w:tcW w:w="1947"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宿舍管理</w:t>
            </w:r>
          </w:p>
        </w:tc>
        <w:tc>
          <w:tcPr>
            <w:tcW w:w="886"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8.00分</w:t>
            </w:r>
          </w:p>
        </w:tc>
        <w:tc>
          <w:tcPr>
            <w:tcW w:w="443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根据投标人提供针对本项目制定宿舍管理人员分配方案、宿舍区安全保卫方案、门禁管理方案等内容进行打分。方案全面、优于采购需求的得8分；方案基本完整、满足采购需求的得6分；方案略有缺陷、经后期优化后可以完成采购需求的得4分；没有内容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597" w:type="dxa"/>
            <w:vMerge w:val="continue"/>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p>
        </w:tc>
        <w:tc>
          <w:tcPr>
            <w:tcW w:w="1947"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水电管理</w:t>
            </w:r>
          </w:p>
        </w:tc>
        <w:tc>
          <w:tcPr>
            <w:tcW w:w="886"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8.00分</w:t>
            </w:r>
          </w:p>
        </w:tc>
        <w:tc>
          <w:tcPr>
            <w:tcW w:w="443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根据投标人提供针对本项目制定水电人员分配方案、工作规范和流程、所有节假日以及活动期间保障方案等进行打分。方案全面、优于采购需求的得8分；方案基本完整、满足采购需求的得6分；方案略有缺陷、经后期优化后可以完成采购需求的得4分；没有内容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597" w:type="dxa"/>
            <w:vMerge w:val="continue"/>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p>
        </w:tc>
        <w:tc>
          <w:tcPr>
            <w:tcW w:w="1947"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 xml:space="preserve">拟提供设备、工具及物耗 </w:t>
            </w:r>
          </w:p>
        </w:tc>
        <w:tc>
          <w:tcPr>
            <w:tcW w:w="886"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6.00分</w:t>
            </w:r>
          </w:p>
        </w:tc>
        <w:tc>
          <w:tcPr>
            <w:tcW w:w="443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在满足采购需求基础之上，根据投标人对拟投入本项目服务的设备工具（包含保洁设备工具、运送设备工具等）装备齐全性、实用性等方面打分，装备齐全、实用且优于采购需求得6分；装备齐全且满足采购需求得4分；装备粗减，但经过后期配备可以完成采购需求得2分；没有内容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597" w:type="dxa"/>
            <w:vMerge w:val="continue"/>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p>
        </w:tc>
        <w:tc>
          <w:tcPr>
            <w:tcW w:w="1947"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内部考核和培训制度</w:t>
            </w:r>
          </w:p>
        </w:tc>
        <w:tc>
          <w:tcPr>
            <w:tcW w:w="886"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7.00分</w:t>
            </w:r>
          </w:p>
        </w:tc>
        <w:tc>
          <w:tcPr>
            <w:tcW w:w="443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根据投标人内部考核管理制度、员工培训计划及相关保证措施的有效内容进行打分。制度方案全面、详细且优于采购需求得7分；制度方案完整、满足采购需求得5分；制度方案略有缺陷经后期优化后可以完成采购需求得3分；没有内容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597" w:type="dxa"/>
            <w:vMerge w:val="continue"/>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p>
        </w:tc>
        <w:tc>
          <w:tcPr>
            <w:tcW w:w="1947"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color w:val="0000FF"/>
              </w:rPr>
            </w:pPr>
            <w:r>
              <w:rPr>
                <w:rFonts w:hint="eastAsia" w:ascii="宋体" w:hAnsi="宋体" w:cs="宋体"/>
                <w:color w:val="0000FF"/>
              </w:rPr>
              <w:t>进退场交接措施</w:t>
            </w:r>
          </w:p>
        </w:tc>
        <w:tc>
          <w:tcPr>
            <w:tcW w:w="886"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color w:val="0000FF"/>
              </w:rPr>
            </w:pPr>
            <w:r>
              <w:rPr>
                <w:rFonts w:hint="eastAsia" w:ascii="宋体" w:hAnsi="宋体" w:cs="宋体"/>
                <w:color w:val="0000FF"/>
              </w:rPr>
              <w:t>6.00分</w:t>
            </w:r>
          </w:p>
        </w:tc>
        <w:tc>
          <w:tcPr>
            <w:tcW w:w="443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color w:val="0000FF"/>
              </w:rPr>
            </w:pPr>
            <w:r>
              <w:rPr>
                <w:rFonts w:hint="eastAsia" w:ascii="宋体" w:hAnsi="宋体" w:cs="宋体"/>
                <w:color w:val="0000FF"/>
              </w:rPr>
              <w:t>根据各投标人的进退场交接措施和</w:t>
            </w:r>
            <w:r>
              <w:rPr>
                <w:rFonts w:hint="eastAsia" w:ascii="宋体" w:hAnsi="宋体" w:cs="宋体"/>
                <w:color w:val="0000FF"/>
                <w:highlight w:val="green"/>
              </w:rPr>
              <w:t>与</w:t>
            </w:r>
            <w:r>
              <w:rPr>
                <w:rFonts w:hint="eastAsia" w:ascii="宋体" w:hAnsi="宋体" w:cs="宋体"/>
                <w:color w:val="0000FF"/>
              </w:rPr>
              <w:t>采购方的配合方案等进行打分：方案全面、优于采购需求的得6分，方案基本完整、满足采购需求的得4分，方案略有缺陷经后期优化后可以完成采购需求的得2分，没有内容不得分。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597" w:type="dxa"/>
            <w:vMerge w:val="continue"/>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p>
        </w:tc>
        <w:tc>
          <w:tcPr>
            <w:tcW w:w="1947"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应对突发事件预案</w:t>
            </w:r>
          </w:p>
        </w:tc>
        <w:tc>
          <w:tcPr>
            <w:tcW w:w="886"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6.00分</w:t>
            </w:r>
          </w:p>
        </w:tc>
        <w:tc>
          <w:tcPr>
            <w:tcW w:w="4430" w:type="dxa"/>
            <w:tcBorders>
              <w:top w:val="single" w:color="auto" w:sz="6" w:space="0"/>
              <w:left w:val="single" w:color="auto" w:sz="6" w:space="0"/>
              <w:bottom w:val="single" w:color="auto" w:sz="6" w:space="0"/>
              <w:right w:val="single" w:color="auto" w:sz="6" w:space="0"/>
            </w:tcBorders>
            <w:vAlign w:val="center"/>
          </w:tcPr>
          <w:p>
            <w:pPr>
              <w:jc w:val="left"/>
              <w:rPr>
                <w:rFonts w:ascii="宋体" w:hAnsi="宋体" w:cs="宋体"/>
              </w:rPr>
            </w:pPr>
            <w:r>
              <w:rPr>
                <w:rFonts w:hint="eastAsia" w:ascii="宋体" w:hAnsi="宋体" w:cs="宋体"/>
              </w:rPr>
              <w:t>主要包括对火灾、爆炸、安全疏导、其他应急灯，以及卫生消毒、清洁环保、洪涝、雨雪、停电、停水及其他突发性事件有相对完善的应急预案等内容进行打分。应急处理措施成熟、方案全面利于执行、与采购单位配合度高且优于采购需求得6分；有可行的应急处理措施，有与采购单位配合的对应措施，满足采购需求得4分；应急处理方法略有缺陷经后期优化后可以完成采购需求得2分；没有内容不得分。</w:t>
            </w:r>
          </w:p>
        </w:tc>
      </w:tr>
    </w:tbl>
    <w:p>
      <w:pPr>
        <w:adjustRightInd w:val="0"/>
        <w:snapToGrid w:val="0"/>
        <w:spacing w:line="360" w:lineRule="auto"/>
        <w:ind w:right="-10" w:firstLine="482" w:firstLineChars="200"/>
        <w:rPr>
          <w:rFonts w:ascii="仿宋_GB2312" w:eastAsia="仿宋_GB2312"/>
          <w:b/>
          <w:sz w:val="24"/>
          <w:highlight w:val="white"/>
        </w:rPr>
      </w:pPr>
    </w:p>
    <w:p>
      <w:pPr>
        <w:adjustRightInd w:val="0"/>
        <w:snapToGrid w:val="0"/>
        <w:spacing w:line="360" w:lineRule="auto"/>
        <w:ind w:right="-10" w:firstLine="482" w:firstLineChars="200"/>
        <w:rPr>
          <w:rFonts w:ascii="仿宋_GB2312" w:eastAsia="仿宋_GB2312"/>
          <w:sz w:val="24"/>
          <w:highlight w:val="white"/>
        </w:rPr>
      </w:pPr>
      <w:r>
        <w:rPr>
          <w:rFonts w:hint="eastAsia" w:ascii="仿宋_GB2312" w:eastAsia="仿宋_GB2312"/>
          <w:b/>
          <w:sz w:val="24"/>
          <w:highlight w:val="white"/>
        </w:rPr>
        <w:t>4、评标结果。</w:t>
      </w:r>
      <w:r>
        <w:rPr>
          <w:rFonts w:hint="eastAsia" w:ascii="仿宋_GB2312" w:eastAsia="仿宋_GB2312"/>
          <w:sz w:val="24"/>
          <w:highlight w:val="white"/>
        </w:rPr>
        <w:t>评标委员会按照本办法规定推荐中标候选人，并形成评标报告。</w:t>
      </w:r>
    </w:p>
    <w:p>
      <w:pPr>
        <w:rPr>
          <w:rFonts w:eastAsia="黑体"/>
          <w:bCs/>
          <w:sz w:val="44"/>
        </w:rPr>
      </w:pPr>
      <w:r>
        <w:rPr>
          <w:rFonts w:hint="eastAsia" w:eastAsia="黑体"/>
          <w:bCs/>
          <w:sz w:val="44"/>
        </w:rPr>
        <w:br w:type="page"/>
      </w:r>
    </w:p>
    <w:p>
      <w:pPr>
        <w:pStyle w:val="22"/>
        <w:snapToGrid w:val="0"/>
        <w:spacing w:before="120" w:after="120" w:line="0" w:lineRule="atLeast"/>
        <w:jc w:val="center"/>
        <w:outlineLvl w:val="0"/>
        <w:rPr>
          <w:rFonts w:ascii="Times New Roman" w:hAnsi="Times New Roman" w:cs="Times New Roman"/>
          <w:b/>
          <w:bCs/>
          <w:sz w:val="24"/>
        </w:rPr>
      </w:pPr>
      <w:bookmarkStart w:id="141" w:name="_Toc12801"/>
      <w:r>
        <w:rPr>
          <w:rFonts w:hint="eastAsia" w:ascii="Times New Roman" w:hAnsi="Times New Roman" w:eastAsia="黑体"/>
          <w:bCs/>
          <w:sz w:val="44"/>
        </w:rPr>
        <w:t>第四章 采购需求</w:t>
      </w:r>
      <w:bookmarkEnd w:id="141"/>
    </w:p>
    <w:p>
      <w:pPr>
        <w:pStyle w:val="58"/>
        <w:spacing w:line="560" w:lineRule="exact"/>
        <w:ind w:firstLine="482" w:firstLineChars="200"/>
        <w:rPr>
          <w:rFonts w:ascii="方正仿宋_GBK" w:hAnsi="方正仿宋_GBK" w:eastAsia="方正仿宋_GBK" w:cs="方正仿宋_GBK"/>
          <w:b/>
          <w:kern w:val="0"/>
          <w:sz w:val="24"/>
          <w:szCs w:val="24"/>
        </w:rPr>
      </w:pPr>
      <w:r>
        <w:rPr>
          <w:rFonts w:hint="eastAsia" w:ascii="方正仿宋_GBK" w:hAnsi="方正仿宋_GBK" w:eastAsia="方正仿宋_GBK" w:cs="方正仿宋_GBK"/>
          <w:b/>
          <w:kern w:val="0"/>
          <w:sz w:val="24"/>
          <w:szCs w:val="24"/>
        </w:rPr>
        <w:t>一、项目概况</w:t>
      </w:r>
    </w:p>
    <w:p>
      <w:pPr>
        <w:pStyle w:val="17"/>
        <w:spacing w:line="560" w:lineRule="exact"/>
        <w:ind w:firstLine="472" w:firstLineChars="200"/>
        <w:outlineLvl w:val="1"/>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（一）项目简介：</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为保障新区公办中小学教育教学工作正常开展，结合学校办学现状，通过对8家公办中小学后勤服务情况进行调研，结合实际需求，现拟将学校的保洁、宿舍管理、水电等服务进行外包，其中洋河保洁26人、仓集保洁7人、郑楼保洁7人；洋河宿管10人、仓集宿管2人、郑楼宿管4人；洋河水电工2人、仓集水电工2人、郑楼水电工1人，以上人数为最低要求；</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（二）合同履行期限：合同生效之日起一年。</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（三）付款方式：</w:t>
      </w:r>
    </w:p>
    <w:p>
      <w:pPr>
        <w:spacing w:line="560" w:lineRule="exact"/>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pacing w:val="-2"/>
          <w:kern w:val="0"/>
          <w:sz w:val="24"/>
          <w:szCs w:val="24"/>
        </w:rPr>
        <w:t>1</w:t>
      </w:r>
      <w:r>
        <w:rPr>
          <w:rFonts w:hint="eastAsia" w:ascii="方正仿宋_GBK" w:hAnsi="方正仿宋_GBK" w:eastAsia="方正仿宋_GBK" w:cs="方正仿宋_GBK"/>
          <w:sz w:val="24"/>
          <w:szCs w:val="24"/>
          <w:highlight w:val="white"/>
        </w:rPr>
        <w:t>、预付款：</w:t>
      </w:r>
      <w:r>
        <w:rPr>
          <w:rFonts w:hint="eastAsia" w:ascii="方正仿宋_GBK" w:hAnsi="方正仿宋_GBK" w:eastAsia="方正仿宋_GBK" w:cs="方正仿宋_GBK"/>
          <w:sz w:val="24"/>
          <w:szCs w:val="24"/>
        </w:rPr>
        <w:t>采购人约定在合同签订后，采购人在接到中标人票据的10个工作日内，支付合同金额的10%作为预付款。</w:t>
      </w:r>
    </w:p>
    <w:p>
      <w:pPr>
        <w:pStyle w:val="103"/>
        <w:spacing w:after="0" w:line="560" w:lineRule="exact"/>
        <w:ind w:firstLine="480" w:firstLineChars="200"/>
        <w:rPr>
          <w:rFonts w:ascii="方正仿宋_GBK" w:hAnsi="方正仿宋_GBK" w:eastAsia="方正仿宋_GBK" w:cs="方正仿宋_GBK"/>
          <w:color w:val="000000"/>
          <w:sz w:val="24"/>
          <w:szCs w:val="24"/>
          <w:highlight w:val="yellow"/>
          <w:u w:val="single"/>
        </w:rPr>
      </w:pPr>
      <w:r>
        <w:rPr>
          <w:rFonts w:hint="eastAsia" w:ascii="方正仿宋_GBK" w:hAnsi="方正仿宋_GBK" w:eastAsia="方正仿宋_GBK" w:cs="方正仿宋_GBK"/>
          <w:sz w:val="24"/>
          <w:szCs w:val="24"/>
          <w:highlight w:val="white"/>
        </w:rPr>
        <w:t>进度款：</w:t>
      </w:r>
      <w:r>
        <w:rPr>
          <w:rFonts w:hint="eastAsia" w:ascii="方正仿宋_GBK" w:hAnsi="方正仿宋_GBK" w:eastAsia="方正仿宋_GBK" w:cs="方正仿宋_GBK"/>
          <w:color w:val="000000"/>
          <w:sz w:val="24"/>
          <w:szCs w:val="24"/>
          <w:highlight w:val="yellow"/>
          <w:u w:val="single"/>
        </w:rPr>
        <w:t>采购人按季支付物业服务费，中标人按季根据实际发生的所有物业管理（考核后的）费用开具合法票据，并提供工人工资支付凭证，采购人在接受中标人票据和凭证后的10个工作日内将上一季实际发生的所有物业管理（考核后的）费用支付给中标人。</w:t>
      </w:r>
    </w:p>
    <w:p>
      <w:pPr>
        <w:pStyle w:val="103"/>
        <w:spacing w:after="0" w:line="560" w:lineRule="exact"/>
        <w:ind w:firstLine="240" w:firstLineChars="1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color w:val="000000"/>
          <w:sz w:val="24"/>
          <w:szCs w:val="24"/>
          <w:highlight w:val="white"/>
        </w:rPr>
        <w:t>注：在签订合同时，中标人明确表示无需预付款或者主动要求降低预付款比例的金额，采购人可不适用前述规定。</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2、每次付款前依据考核标准，扣除应扣款项后支付应付费用，每月对已开展的服务情况进行考核，根据考核结果据实支付。</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 xml:space="preserve">基本服务费=中标金额/24×80%*3 </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 xml:space="preserve">考核费用=中标金额/24×20%*3 </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（1）中标人当季考核成绩在95分以上(含95分)的，全额支付当季服务费用；</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（2）中标人当季考核成绩在95—90分(含90分)之间的，当季支付金额=基本服务费用+[(实际得分)/100]*考核费用；</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 xml:space="preserve">（3）中标人当季考核成绩在80—90分(含80分)之间的，当季支付金额=基本服务费用+[1-2*(100-实际得分)/100]*考核费用； </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 xml:space="preserve">（4）中标人当季考核成绩在80分以下的，当季支付金额为当季的基本服务费用。 </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 xml:space="preserve">采购人有权对中标人服务情况进行督查和考核。履约期间，中标人发生连续3个月或连续12个月内有5个月考核成绩为80分以下的，采购人有权单方终止合同。 </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 xml:space="preserve">（四）服务质量：合格 </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（五）验收要求及标准</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1验收主体：采购人（教育办）。</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验收时间：由各学校后勤处3名人员组成考核小组，每周进行一次考核，每季度向教育办汇总一次；教育办作为监督管理部门，每季度至少对乙方进行一次不定期抽检考核。教育办在收到以上所有考核表后3个工作日内组织验收并签署验收单。</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3验收标准：以履约期间考核打分表作为验收依据。</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4验收程序、内容及履约：由验收小组按照招标文件、投标文件及考核表对中标人履约情况进行验收。验收结束后，验收单由验收双方共同签署。履约验收的各项资料存档备查。</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5甲方按照验收结果及合同约定的付款节点及时向乙方支付项目款。采购合同的履行、违约责任和解决争议的方式等适用《民法典》。乙方在履约过程中有政府采购法律法规规定的违法违规情形的,甲方将及时报告本级财政部门。</w:t>
      </w:r>
    </w:p>
    <w:p>
      <w:pPr>
        <w:pStyle w:val="58"/>
        <w:spacing w:line="560" w:lineRule="exact"/>
        <w:ind w:firstLine="482" w:firstLineChars="200"/>
        <w:rPr>
          <w:rFonts w:ascii="方正仿宋_GBK" w:hAnsi="方正仿宋_GBK" w:eastAsia="方正仿宋_GBK" w:cs="方正仿宋_GBK"/>
          <w:b/>
          <w:kern w:val="0"/>
          <w:sz w:val="24"/>
          <w:szCs w:val="24"/>
        </w:rPr>
      </w:pPr>
      <w:r>
        <w:rPr>
          <w:rFonts w:hint="eastAsia" w:ascii="方正仿宋_GBK" w:hAnsi="方正仿宋_GBK" w:eastAsia="方正仿宋_GBK" w:cs="方正仿宋_GBK"/>
          <w:b/>
          <w:kern w:val="0"/>
          <w:sz w:val="24"/>
          <w:szCs w:val="24"/>
        </w:rPr>
        <w:t>二、人员配备及服务要求</w:t>
      </w:r>
    </w:p>
    <w:p>
      <w:pPr>
        <w:pStyle w:val="17"/>
        <w:spacing w:line="560" w:lineRule="exact"/>
        <w:ind w:firstLine="472" w:firstLineChars="200"/>
        <w:outlineLvl w:val="1"/>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（一）人员配备</w:t>
      </w:r>
    </w:p>
    <w:p>
      <w:pPr>
        <w:spacing w:line="560" w:lineRule="exact"/>
        <w:ind w:firstLine="482"/>
        <w:rPr>
          <w:rFonts w:ascii="方正仿宋_GBK" w:hAnsi="方正仿宋_GBK" w:eastAsia="方正仿宋_GBK" w:cs="方正仿宋_GBK"/>
          <w:sz w:val="24"/>
          <w:szCs w:val="24"/>
        </w:rPr>
      </w:pPr>
      <w:r>
        <w:rPr>
          <w:rFonts w:hint="eastAsia" w:ascii="方正仿宋_GBK" w:hAnsi="方正仿宋_GBK" w:eastAsia="方正仿宋_GBK" w:cs="方正仿宋_GBK"/>
          <w:b/>
          <w:bCs/>
          <w:color w:val="FF0000"/>
          <w:sz w:val="24"/>
          <w:szCs w:val="24"/>
          <w:lang w:bidi="zh-CN"/>
        </w:rPr>
        <w:t>以下人员配备为最低要求，不接受负偏离，响应文件中提供全部响应要求的承诺函电子件（加盖公章，承诺函格式附后），否则按无效标处理。</w:t>
      </w:r>
    </w:p>
    <w:tbl>
      <w:tblPr>
        <w:tblStyle w:val="43"/>
        <w:tblpPr w:leftFromText="180" w:rightFromText="180" w:vertAnchor="text" w:horzAnchor="page" w:tblpX="1562" w:tblpY="163"/>
        <w:tblOverlap w:val="never"/>
        <w:tblW w:w="8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1506"/>
        <w:gridCol w:w="1506"/>
        <w:gridCol w:w="1177"/>
        <w:gridCol w:w="2008"/>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362"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序号</w:t>
            </w:r>
          </w:p>
        </w:tc>
        <w:tc>
          <w:tcPr>
            <w:tcW w:w="1506" w:type="dxa"/>
            <w:vAlign w:val="center"/>
          </w:tcPr>
          <w:p>
            <w:pPr>
              <w:pStyle w:val="53"/>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配备</w:t>
            </w:r>
          </w:p>
        </w:tc>
        <w:tc>
          <w:tcPr>
            <w:tcW w:w="1506"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岗位</w:t>
            </w:r>
          </w:p>
        </w:tc>
        <w:tc>
          <w:tcPr>
            <w:tcW w:w="1177"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人数</w:t>
            </w:r>
          </w:p>
        </w:tc>
        <w:tc>
          <w:tcPr>
            <w:tcW w:w="200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年龄</w:t>
            </w:r>
          </w:p>
        </w:tc>
        <w:tc>
          <w:tcPr>
            <w:tcW w:w="129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362"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1</w:t>
            </w:r>
          </w:p>
        </w:tc>
        <w:tc>
          <w:tcPr>
            <w:tcW w:w="1506" w:type="dxa"/>
            <w:vAlign w:val="center"/>
          </w:tcPr>
          <w:p>
            <w:pPr>
              <w:pStyle w:val="53"/>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洋河</w:t>
            </w:r>
          </w:p>
        </w:tc>
        <w:tc>
          <w:tcPr>
            <w:tcW w:w="1506" w:type="dxa"/>
            <w:vAlign w:val="center"/>
          </w:tcPr>
          <w:p>
            <w:pPr>
              <w:pStyle w:val="53"/>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保洁员</w:t>
            </w:r>
          </w:p>
        </w:tc>
        <w:tc>
          <w:tcPr>
            <w:tcW w:w="1177" w:type="dxa"/>
            <w:vAlign w:val="center"/>
          </w:tcPr>
          <w:p>
            <w:pPr>
              <w:pStyle w:val="53"/>
              <w:tabs>
                <w:tab w:val="center" w:pos="329"/>
                <w:tab w:val="left" w:pos="494"/>
              </w:tabs>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26</w:t>
            </w:r>
          </w:p>
        </w:tc>
        <w:tc>
          <w:tcPr>
            <w:tcW w:w="200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362"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2</w:t>
            </w:r>
          </w:p>
        </w:tc>
        <w:tc>
          <w:tcPr>
            <w:tcW w:w="1506" w:type="dxa"/>
            <w:vAlign w:val="center"/>
          </w:tcPr>
          <w:p>
            <w:pPr>
              <w:pStyle w:val="53"/>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仓集</w:t>
            </w:r>
          </w:p>
        </w:tc>
        <w:tc>
          <w:tcPr>
            <w:tcW w:w="1506" w:type="dxa"/>
            <w:vAlign w:val="center"/>
          </w:tcPr>
          <w:p>
            <w:pPr>
              <w:pStyle w:val="53"/>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保洁员</w:t>
            </w:r>
          </w:p>
        </w:tc>
        <w:tc>
          <w:tcPr>
            <w:tcW w:w="1177"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7</w:t>
            </w:r>
          </w:p>
        </w:tc>
        <w:tc>
          <w:tcPr>
            <w:tcW w:w="200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3" w:hRule="atLeast"/>
        </w:trPr>
        <w:tc>
          <w:tcPr>
            <w:tcW w:w="1362" w:type="dxa"/>
            <w:vAlign w:val="center"/>
          </w:tcPr>
          <w:p>
            <w:pPr>
              <w:pStyle w:val="53"/>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w:t>
            </w:r>
          </w:p>
        </w:tc>
        <w:tc>
          <w:tcPr>
            <w:tcW w:w="1506" w:type="dxa"/>
            <w:vAlign w:val="center"/>
          </w:tcPr>
          <w:p>
            <w:pPr>
              <w:pStyle w:val="53"/>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郑楼</w:t>
            </w:r>
          </w:p>
        </w:tc>
        <w:tc>
          <w:tcPr>
            <w:tcW w:w="1506" w:type="dxa"/>
            <w:vAlign w:val="center"/>
          </w:tcPr>
          <w:p>
            <w:pPr>
              <w:pStyle w:val="53"/>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保洁员</w:t>
            </w:r>
          </w:p>
        </w:tc>
        <w:tc>
          <w:tcPr>
            <w:tcW w:w="1177"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7</w:t>
            </w:r>
          </w:p>
        </w:tc>
        <w:tc>
          <w:tcPr>
            <w:tcW w:w="200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62"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4</w:t>
            </w:r>
          </w:p>
        </w:tc>
        <w:tc>
          <w:tcPr>
            <w:tcW w:w="1506" w:type="dxa"/>
            <w:vMerge w:val="restart"/>
            <w:vAlign w:val="center"/>
          </w:tcPr>
          <w:p>
            <w:pPr>
              <w:pStyle w:val="53"/>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洋河</w:t>
            </w:r>
          </w:p>
        </w:tc>
        <w:tc>
          <w:tcPr>
            <w:tcW w:w="1506" w:type="dxa"/>
            <w:vAlign w:val="center"/>
          </w:tcPr>
          <w:p>
            <w:pPr>
              <w:pStyle w:val="53"/>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男宿管</w:t>
            </w:r>
          </w:p>
        </w:tc>
        <w:tc>
          <w:tcPr>
            <w:tcW w:w="1177"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w:t>
            </w:r>
          </w:p>
        </w:tc>
        <w:tc>
          <w:tcPr>
            <w:tcW w:w="200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60岁以下</w:t>
            </w:r>
          </w:p>
        </w:tc>
        <w:tc>
          <w:tcPr>
            <w:tcW w:w="129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62" w:type="dxa"/>
            <w:vAlign w:val="center"/>
          </w:tcPr>
          <w:p>
            <w:pPr>
              <w:pStyle w:val="53"/>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5</w:t>
            </w:r>
          </w:p>
        </w:tc>
        <w:tc>
          <w:tcPr>
            <w:tcW w:w="1506" w:type="dxa"/>
            <w:vMerge w:val="continue"/>
            <w:vAlign w:val="center"/>
          </w:tcPr>
          <w:p>
            <w:pPr>
              <w:pStyle w:val="53"/>
              <w:spacing w:line="560" w:lineRule="exact"/>
              <w:textAlignment w:val="center"/>
              <w:rPr>
                <w:rFonts w:ascii="方正仿宋_GBK" w:hAnsi="方正仿宋_GBK" w:eastAsia="方正仿宋_GBK" w:cs="方正仿宋_GBK"/>
                <w:kern w:val="0"/>
                <w:sz w:val="24"/>
                <w:szCs w:val="24"/>
              </w:rPr>
            </w:pPr>
          </w:p>
        </w:tc>
        <w:tc>
          <w:tcPr>
            <w:tcW w:w="1506" w:type="dxa"/>
            <w:vAlign w:val="center"/>
          </w:tcPr>
          <w:p>
            <w:pPr>
              <w:pStyle w:val="53"/>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女宿管</w:t>
            </w:r>
          </w:p>
        </w:tc>
        <w:tc>
          <w:tcPr>
            <w:tcW w:w="1177"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w:t>
            </w:r>
          </w:p>
        </w:tc>
        <w:tc>
          <w:tcPr>
            <w:tcW w:w="200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62" w:type="dxa"/>
            <w:vAlign w:val="center"/>
          </w:tcPr>
          <w:p>
            <w:pPr>
              <w:pStyle w:val="53"/>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6</w:t>
            </w:r>
          </w:p>
        </w:tc>
        <w:tc>
          <w:tcPr>
            <w:tcW w:w="1506" w:type="dxa"/>
            <w:vMerge w:val="restart"/>
            <w:vAlign w:val="center"/>
          </w:tcPr>
          <w:p>
            <w:pPr>
              <w:pStyle w:val="53"/>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仓集</w:t>
            </w:r>
          </w:p>
        </w:tc>
        <w:tc>
          <w:tcPr>
            <w:tcW w:w="1506" w:type="dxa"/>
            <w:vAlign w:val="center"/>
          </w:tcPr>
          <w:p>
            <w:pPr>
              <w:pStyle w:val="53"/>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男宿管</w:t>
            </w:r>
          </w:p>
        </w:tc>
        <w:tc>
          <w:tcPr>
            <w:tcW w:w="1177"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00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60岁以下</w:t>
            </w:r>
          </w:p>
        </w:tc>
        <w:tc>
          <w:tcPr>
            <w:tcW w:w="129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2" w:hRule="atLeast"/>
        </w:trPr>
        <w:tc>
          <w:tcPr>
            <w:tcW w:w="1362" w:type="dxa"/>
            <w:vAlign w:val="center"/>
          </w:tcPr>
          <w:p>
            <w:pPr>
              <w:pStyle w:val="53"/>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7</w:t>
            </w:r>
          </w:p>
        </w:tc>
        <w:tc>
          <w:tcPr>
            <w:tcW w:w="1506" w:type="dxa"/>
            <w:vMerge w:val="continue"/>
            <w:vAlign w:val="center"/>
          </w:tcPr>
          <w:p>
            <w:pPr>
              <w:pStyle w:val="53"/>
              <w:spacing w:line="560" w:lineRule="exact"/>
              <w:textAlignment w:val="center"/>
              <w:rPr>
                <w:rFonts w:ascii="方正仿宋_GBK" w:hAnsi="方正仿宋_GBK" w:eastAsia="方正仿宋_GBK" w:cs="方正仿宋_GBK"/>
                <w:kern w:val="0"/>
                <w:sz w:val="24"/>
                <w:szCs w:val="24"/>
              </w:rPr>
            </w:pPr>
          </w:p>
        </w:tc>
        <w:tc>
          <w:tcPr>
            <w:tcW w:w="1506" w:type="dxa"/>
            <w:vAlign w:val="center"/>
          </w:tcPr>
          <w:p>
            <w:pPr>
              <w:pStyle w:val="53"/>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女宿管</w:t>
            </w:r>
          </w:p>
        </w:tc>
        <w:tc>
          <w:tcPr>
            <w:tcW w:w="1177"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00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62" w:type="dxa"/>
            <w:vAlign w:val="center"/>
          </w:tcPr>
          <w:p>
            <w:pPr>
              <w:pStyle w:val="53"/>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8</w:t>
            </w:r>
          </w:p>
        </w:tc>
        <w:tc>
          <w:tcPr>
            <w:tcW w:w="1506" w:type="dxa"/>
            <w:vMerge w:val="restart"/>
            <w:vAlign w:val="center"/>
          </w:tcPr>
          <w:p>
            <w:pPr>
              <w:pStyle w:val="53"/>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郑楼</w:t>
            </w:r>
          </w:p>
        </w:tc>
        <w:tc>
          <w:tcPr>
            <w:tcW w:w="1506" w:type="dxa"/>
            <w:vAlign w:val="center"/>
          </w:tcPr>
          <w:p>
            <w:pPr>
              <w:pStyle w:val="53"/>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男宿管</w:t>
            </w:r>
          </w:p>
        </w:tc>
        <w:tc>
          <w:tcPr>
            <w:tcW w:w="1177"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00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60岁以下</w:t>
            </w:r>
          </w:p>
        </w:tc>
        <w:tc>
          <w:tcPr>
            <w:tcW w:w="129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2" w:hRule="atLeast"/>
        </w:trPr>
        <w:tc>
          <w:tcPr>
            <w:tcW w:w="1362" w:type="dxa"/>
            <w:vAlign w:val="center"/>
          </w:tcPr>
          <w:p>
            <w:pPr>
              <w:pStyle w:val="53"/>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9</w:t>
            </w:r>
          </w:p>
        </w:tc>
        <w:tc>
          <w:tcPr>
            <w:tcW w:w="1506" w:type="dxa"/>
            <w:vMerge w:val="continue"/>
            <w:vAlign w:val="center"/>
          </w:tcPr>
          <w:p>
            <w:pPr>
              <w:pStyle w:val="53"/>
              <w:spacing w:line="560" w:lineRule="exact"/>
              <w:textAlignment w:val="center"/>
              <w:rPr>
                <w:rFonts w:ascii="方正仿宋_GBK" w:hAnsi="方正仿宋_GBK" w:eastAsia="方正仿宋_GBK" w:cs="方正仿宋_GBK"/>
                <w:kern w:val="0"/>
                <w:sz w:val="24"/>
                <w:szCs w:val="24"/>
              </w:rPr>
            </w:pPr>
          </w:p>
        </w:tc>
        <w:tc>
          <w:tcPr>
            <w:tcW w:w="1506" w:type="dxa"/>
            <w:vAlign w:val="center"/>
          </w:tcPr>
          <w:p>
            <w:pPr>
              <w:pStyle w:val="53"/>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女宿管</w:t>
            </w:r>
          </w:p>
        </w:tc>
        <w:tc>
          <w:tcPr>
            <w:tcW w:w="1177"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00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62" w:type="dxa"/>
            <w:vAlign w:val="center"/>
          </w:tcPr>
          <w:p>
            <w:pPr>
              <w:pStyle w:val="53"/>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10</w:t>
            </w:r>
          </w:p>
        </w:tc>
        <w:tc>
          <w:tcPr>
            <w:tcW w:w="1506" w:type="dxa"/>
            <w:vAlign w:val="center"/>
          </w:tcPr>
          <w:p>
            <w:pPr>
              <w:pStyle w:val="53"/>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洋河</w:t>
            </w:r>
          </w:p>
        </w:tc>
        <w:tc>
          <w:tcPr>
            <w:tcW w:w="1506" w:type="dxa"/>
            <w:vAlign w:val="center"/>
          </w:tcPr>
          <w:p>
            <w:pPr>
              <w:pStyle w:val="53"/>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水电工</w:t>
            </w:r>
          </w:p>
        </w:tc>
        <w:tc>
          <w:tcPr>
            <w:tcW w:w="1177" w:type="dxa"/>
            <w:vAlign w:val="center"/>
          </w:tcPr>
          <w:p>
            <w:pPr>
              <w:pStyle w:val="53"/>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w:t>
            </w:r>
          </w:p>
        </w:tc>
        <w:tc>
          <w:tcPr>
            <w:tcW w:w="200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53"/>
              <w:spacing w:line="560" w:lineRule="exact"/>
              <w:jc w:val="center"/>
              <w:textAlignment w:val="center"/>
              <w:rPr>
                <w:rFonts w:ascii="方正仿宋_GBK" w:hAnsi="方正仿宋_GBK" w:eastAsia="方正仿宋_GBK" w:cs="方正仿宋_GBK"/>
                <w:sz w:val="24"/>
                <w:szCs w:val="24"/>
                <w:highlight w:val="green"/>
              </w:rPr>
            </w:pPr>
            <w:r>
              <w:rPr>
                <w:rFonts w:hint="eastAsia" w:ascii="方正仿宋_GBK" w:hAnsi="方正仿宋_GBK" w:eastAsia="方正仿宋_GBK" w:cs="方正仿宋_GBK"/>
                <w:kern w:val="0"/>
                <w:sz w:val="24"/>
                <w:szCs w:val="24"/>
                <w:highlight w:val="green"/>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62" w:type="dxa"/>
            <w:vAlign w:val="center"/>
          </w:tcPr>
          <w:p>
            <w:pPr>
              <w:pStyle w:val="53"/>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11</w:t>
            </w:r>
          </w:p>
        </w:tc>
        <w:tc>
          <w:tcPr>
            <w:tcW w:w="1506" w:type="dxa"/>
            <w:vAlign w:val="center"/>
          </w:tcPr>
          <w:p>
            <w:pPr>
              <w:pStyle w:val="53"/>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仓集</w:t>
            </w:r>
          </w:p>
        </w:tc>
        <w:tc>
          <w:tcPr>
            <w:tcW w:w="1506" w:type="dxa"/>
            <w:vAlign w:val="center"/>
          </w:tcPr>
          <w:p>
            <w:pPr>
              <w:pStyle w:val="53"/>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水电工</w:t>
            </w:r>
          </w:p>
        </w:tc>
        <w:tc>
          <w:tcPr>
            <w:tcW w:w="1177" w:type="dxa"/>
            <w:vAlign w:val="center"/>
          </w:tcPr>
          <w:p>
            <w:pPr>
              <w:pStyle w:val="53"/>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w:t>
            </w:r>
          </w:p>
        </w:tc>
        <w:tc>
          <w:tcPr>
            <w:tcW w:w="200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53"/>
              <w:spacing w:line="560" w:lineRule="exact"/>
              <w:jc w:val="center"/>
              <w:textAlignment w:val="center"/>
              <w:rPr>
                <w:rFonts w:ascii="方正仿宋_GBK" w:hAnsi="方正仿宋_GBK" w:eastAsia="方正仿宋_GBK" w:cs="方正仿宋_GBK"/>
                <w:sz w:val="24"/>
                <w:szCs w:val="24"/>
                <w:highlight w:val="green"/>
              </w:rPr>
            </w:pPr>
            <w:r>
              <w:rPr>
                <w:rFonts w:hint="eastAsia" w:ascii="方正仿宋_GBK" w:hAnsi="方正仿宋_GBK" w:eastAsia="方正仿宋_GBK" w:cs="方正仿宋_GBK"/>
                <w:kern w:val="0"/>
                <w:sz w:val="24"/>
                <w:szCs w:val="24"/>
                <w:highlight w:val="green"/>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trPr>
        <w:tc>
          <w:tcPr>
            <w:tcW w:w="1362" w:type="dxa"/>
            <w:vAlign w:val="center"/>
          </w:tcPr>
          <w:p>
            <w:pPr>
              <w:pStyle w:val="53"/>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12</w:t>
            </w:r>
          </w:p>
        </w:tc>
        <w:tc>
          <w:tcPr>
            <w:tcW w:w="1506" w:type="dxa"/>
            <w:vAlign w:val="center"/>
          </w:tcPr>
          <w:p>
            <w:pPr>
              <w:pStyle w:val="53"/>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郑楼</w:t>
            </w:r>
          </w:p>
        </w:tc>
        <w:tc>
          <w:tcPr>
            <w:tcW w:w="1506" w:type="dxa"/>
            <w:vAlign w:val="center"/>
          </w:tcPr>
          <w:p>
            <w:pPr>
              <w:pStyle w:val="53"/>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水电工</w:t>
            </w:r>
          </w:p>
        </w:tc>
        <w:tc>
          <w:tcPr>
            <w:tcW w:w="1177" w:type="dxa"/>
            <w:vAlign w:val="center"/>
          </w:tcPr>
          <w:p>
            <w:pPr>
              <w:pStyle w:val="53"/>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w:t>
            </w:r>
          </w:p>
        </w:tc>
        <w:tc>
          <w:tcPr>
            <w:tcW w:w="2008"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53"/>
              <w:spacing w:line="560" w:lineRule="exact"/>
              <w:jc w:val="center"/>
              <w:textAlignment w:val="center"/>
              <w:rPr>
                <w:rFonts w:ascii="方正仿宋_GBK" w:hAnsi="方正仿宋_GBK" w:eastAsia="方正仿宋_GBK" w:cs="方正仿宋_GBK"/>
                <w:sz w:val="24"/>
                <w:szCs w:val="24"/>
                <w:highlight w:val="green"/>
              </w:rPr>
            </w:pPr>
            <w:r>
              <w:rPr>
                <w:rFonts w:hint="eastAsia" w:ascii="方正仿宋_GBK" w:hAnsi="方正仿宋_GBK" w:eastAsia="方正仿宋_GBK" w:cs="方正仿宋_GBK"/>
                <w:kern w:val="0"/>
                <w:sz w:val="24"/>
                <w:szCs w:val="24"/>
                <w:highlight w:val="green"/>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62"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13</w:t>
            </w:r>
          </w:p>
        </w:tc>
        <w:tc>
          <w:tcPr>
            <w:tcW w:w="1506" w:type="dxa"/>
            <w:vAlign w:val="center"/>
          </w:tcPr>
          <w:p>
            <w:pPr>
              <w:pStyle w:val="53"/>
              <w:spacing w:line="560" w:lineRule="exact"/>
              <w:textAlignment w:val="center"/>
              <w:rPr>
                <w:rFonts w:ascii="方正仿宋_GBK" w:hAnsi="方正仿宋_GBK" w:eastAsia="方正仿宋_GBK" w:cs="方正仿宋_GBK"/>
                <w:kern w:val="0"/>
                <w:sz w:val="24"/>
                <w:szCs w:val="24"/>
              </w:rPr>
            </w:pPr>
          </w:p>
        </w:tc>
        <w:tc>
          <w:tcPr>
            <w:tcW w:w="1506" w:type="dxa"/>
            <w:vAlign w:val="center"/>
          </w:tcPr>
          <w:p>
            <w:pPr>
              <w:pStyle w:val="53"/>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其他</w:t>
            </w:r>
          </w:p>
        </w:tc>
        <w:tc>
          <w:tcPr>
            <w:tcW w:w="4483" w:type="dxa"/>
            <w:gridSpan w:val="3"/>
            <w:vAlign w:val="center"/>
          </w:tcPr>
          <w:p>
            <w:pPr>
              <w:pStyle w:val="53"/>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保洁工具等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rPr>
        <w:tc>
          <w:tcPr>
            <w:tcW w:w="1362" w:type="dxa"/>
            <w:vAlign w:val="center"/>
          </w:tcPr>
          <w:p>
            <w:pPr>
              <w:pStyle w:val="53"/>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合计</w:t>
            </w:r>
          </w:p>
        </w:tc>
        <w:tc>
          <w:tcPr>
            <w:tcW w:w="1506" w:type="dxa"/>
            <w:vAlign w:val="center"/>
          </w:tcPr>
          <w:p>
            <w:pPr>
              <w:pStyle w:val="53"/>
              <w:spacing w:line="560" w:lineRule="exact"/>
              <w:jc w:val="center"/>
              <w:rPr>
                <w:rFonts w:ascii="方正仿宋_GBK" w:hAnsi="方正仿宋_GBK" w:eastAsia="方正仿宋_GBK" w:cs="方正仿宋_GBK"/>
                <w:sz w:val="24"/>
                <w:szCs w:val="24"/>
              </w:rPr>
            </w:pPr>
          </w:p>
        </w:tc>
        <w:tc>
          <w:tcPr>
            <w:tcW w:w="1506" w:type="dxa"/>
            <w:vAlign w:val="center"/>
          </w:tcPr>
          <w:p>
            <w:pPr>
              <w:pStyle w:val="53"/>
              <w:spacing w:line="560" w:lineRule="exact"/>
              <w:jc w:val="center"/>
              <w:rPr>
                <w:rFonts w:ascii="方正仿宋_GBK" w:hAnsi="方正仿宋_GBK" w:eastAsia="方正仿宋_GBK" w:cs="方正仿宋_GBK"/>
                <w:sz w:val="24"/>
                <w:szCs w:val="24"/>
              </w:rPr>
            </w:pPr>
          </w:p>
        </w:tc>
        <w:tc>
          <w:tcPr>
            <w:tcW w:w="1177" w:type="dxa"/>
            <w:vAlign w:val="center"/>
          </w:tcPr>
          <w:p>
            <w:pPr>
              <w:pStyle w:val="53"/>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61</w:t>
            </w:r>
          </w:p>
        </w:tc>
        <w:tc>
          <w:tcPr>
            <w:tcW w:w="2008" w:type="dxa"/>
            <w:vAlign w:val="center"/>
          </w:tcPr>
          <w:p>
            <w:pPr>
              <w:pStyle w:val="53"/>
              <w:spacing w:line="560" w:lineRule="exact"/>
              <w:jc w:val="center"/>
              <w:rPr>
                <w:rFonts w:ascii="方正仿宋_GBK" w:hAnsi="方正仿宋_GBK" w:eastAsia="方正仿宋_GBK" w:cs="方正仿宋_GBK"/>
                <w:sz w:val="24"/>
                <w:szCs w:val="24"/>
              </w:rPr>
            </w:pPr>
          </w:p>
        </w:tc>
        <w:tc>
          <w:tcPr>
            <w:tcW w:w="1298" w:type="dxa"/>
            <w:vAlign w:val="center"/>
          </w:tcPr>
          <w:p>
            <w:pPr>
              <w:pStyle w:val="53"/>
              <w:spacing w:line="560" w:lineRule="exact"/>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857" w:type="dxa"/>
            <w:gridSpan w:val="6"/>
            <w:vAlign w:val="center"/>
          </w:tcPr>
          <w:p>
            <w:pPr>
              <w:pStyle w:val="53"/>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1、以上人员年龄，均以身份证为准。</w:t>
            </w:r>
          </w:p>
          <w:p>
            <w:pPr>
              <w:pStyle w:val="53"/>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2、以上人员均统一着装，挂牌上岗，仪表整洁规范，做到文明服务、优质服务。</w:t>
            </w:r>
          </w:p>
          <w:p>
            <w:pPr>
              <w:pStyle w:val="53"/>
              <w:widowControl/>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3、中标人在</w:t>
            </w:r>
            <w:r>
              <w:rPr>
                <w:rFonts w:hint="eastAsia" w:ascii="方正仿宋_GBK" w:hAnsi="方正仿宋_GBK" w:eastAsia="方正仿宋_GBK" w:cs="方正仿宋_GBK"/>
                <w:sz w:val="24"/>
                <w:szCs w:val="24"/>
              </w:rPr>
              <w:t>中标</w:t>
            </w:r>
            <w:r>
              <w:rPr>
                <w:rFonts w:hint="eastAsia" w:ascii="方正仿宋_GBK" w:hAnsi="方正仿宋_GBK" w:eastAsia="方正仿宋_GBK" w:cs="方正仿宋_GBK"/>
                <w:kern w:val="0"/>
                <w:sz w:val="24"/>
                <w:szCs w:val="24"/>
              </w:rPr>
              <w:t>后，应按招标文件要求配备以上人员，并经采购单位认可后进场。</w:t>
            </w:r>
          </w:p>
          <w:p>
            <w:pPr>
              <w:pStyle w:val="53"/>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4、投标人提供管理服务人员不得少于61人，且身体健康，无犯罪记录，上岗前均须有健康证，无重大疾病和传染病（甲方将有专人查验）。以上人员中有一人兼项目负责人职务。</w:t>
            </w:r>
          </w:p>
          <w:p>
            <w:pPr>
              <w:pStyle w:val="55"/>
              <w:spacing w:line="560" w:lineRule="exact"/>
              <w:jc w:val="left"/>
              <w:rPr>
                <w:rFonts w:ascii="方正仿宋_GBK" w:hAnsi="方正仿宋_GBK" w:eastAsia="方正仿宋_GBK" w:cs="方正仿宋_GBK"/>
                <w:sz w:val="24"/>
              </w:rPr>
            </w:pPr>
            <w:r>
              <w:rPr>
                <w:rFonts w:hint="eastAsia" w:ascii="方正仿宋_GBK" w:hAnsi="方正仿宋_GBK" w:eastAsia="方正仿宋_GBK" w:cs="方正仿宋_GBK"/>
                <w:kern w:val="0"/>
                <w:sz w:val="24"/>
              </w:rPr>
              <w:t>5、所有服务人员的人员工资不得低于宿迁市最低工资标准，提供明细报价表中应含人员工资明细（按照附件要求填写）。</w:t>
            </w:r>
          </w:p>
        </w:tc>
      </w:tr>
    </w:tbl>
    <w:p>
      <w:pPr>
        <w:pStyle w:val="15"/>
        <w:spacing w:line="560" w:lineRule="exact"/>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为保证服务队伍的整体素质和相对稳定性，投标人应充分考虑管理和服务人员的工资待遇。投标人要综合考虑宿迁劳动市场因素，激发员工积极性，合理分配不同岗位工资。且人员工资不得低于宿迁市目前最低工资标准，即按《关于调整全市最低工资标准的通知》（宿人社发〔2024〕1号）政策执行，否则按无效标处理。</w:t>
      </w:r>
    </w:p>
    <w:p>
      <w:pPr>
        <w:pStyle w:val="130"/>
        <w:numPr>
          <w:ilvl w:val="0"/>
          <w:numId w:val="4"/>
        </w:numPr>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服务要求</w:t>
      </w:r>
    </w:p>
    <w:tbl>
      <w:tblPr>
        <w:tblStyle w:val="43"/>
        <w:tblW w:w="9013" w:type="dxa"/>
        <w:tblInd w:w="-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900"/>
        <w:gridCol w:w="5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437" w:type="dxa"/>
            <w:tcBorders>
              <w:top w:val="single" w:color="auto" w:sz="4" w:space="0"/>
              <w:left w:val="single" w:color="auto" w:sz="4" w:space="0"/>
              <w:bottom w:val="single" w:color="auto" w:sz="4" w:space="0"/>
              <w:right w:val="single" w:color="auto" w:sz="4" w:space="0"/>
            </w:tcBorders>
            <w:vAlign w:val="center"/>
          </w:tcPr>
          <w:p>
            <w:pPr>
              <w:pStyle w:val="53"/>
              <w:snapToGrid w:val="0"/>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名称</w:t>
            </w:r>
          </w:p>
        </w:tc>
        <w:tc>
          <w:tcPr>
            <w:tcW w:w="1900" w:type="dxa"/>
            <w:tcBorders>
              <w:top w:val="single" w:color="auto" w:sz="4" w:space="0"/>
              <w:left w:val="single" w:color="auto" w:sz="4" w:space="0"/>
              <w:bottom w:val="single" w:color="auto" w:sz="4" w:space="0"/>
              <w:right w:val="single" w:color="auto" w:sz="4" w:space="0"/>
            </w:tcBorders>
            <w:vAlign w:val="center"/>
          </w:tcPr>
          <w:p>
            <w:pPr>
              <w:pStyle w:val="53"/>
              <w:snapToGrid w:val="0"/>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区域划分</w:t>
            </w:r>
          </w:p>
        </w:tc>
        <w:tc>
          <w:tcPr>
            <w:tcW w:w="5676" w:type="dxa"/>
            <w:tcBorders>
              <w:top w:val="single" w:color="auto" w:sz="4" w:space="0"/>
              <w:left w:val="single" w:color="auto" w:sz="4" w:space="0"/>
              <w:bottom w:val="single" w:color="auto" w:sz="4" w:space="0"/>
              <w:right w:val="single" w:color="auto" w:sz="4" w:space="0"/>
            </w:tcBorders>
            <w:vAlign w:val="center"/>
          </w:tcPr>
          <w:p>
            <w:pPr>
              <w:pStyle w:val="53"/>
              <w:snapToGrid w:val="0"/>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437" w:type="dxa"/>
            <w:tcBorders>
              <w:top w:val="single" w:color="auto" w:sz="4" w:space="0"/>
              <w:left w:val="single" w:color="auto" w:sz="4" w:space="0"/>
              <w:bottom w:val="single" w:color="auto" w:sz="4" w:space="0"/>
              <w:right w:val="single" w:color="auto" w:sz="4" w:space="0"/>
            </w:tcBorders>
            <w:vAlign w:val="center"/>
          </w:tcPr>
          <w:p>
            <w:pPr>
              <w:pStyle w:val="53"/>
              <w:snapToGrid w:val="0"/>
              <w:spacing w:line="560" w:lineRule="exact"/>
              <w:ind w:left="106" w:hanging="105" w:hangingChars="44"/>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项目负责人</w:t>
            </w:r>
          </w:p>
        </w:tc>
        <w:tc>
          <w:tcPr>
            <w:tcW w:w="1900" w:type="dxa"/>
            <w:tcBorders>
              <w:top w:val="single" w:color="auto" w:sz="4" w:space="0"/>
              <w:left w:val="single" w:color="auto" w:sz="4" w:space="0"/>
              <w:bottom w:val="single" w:color="auto" w:sz="4" w:space="0"/>
              <w:right w:val="single" w:color="auto" w:sz="4" w:space="0"/>
            </w:tcBorders>
            <w:vAlign w:val="center"/>
          </w:tcPr>
          <w:p>
            <w:pPr>
              <w:pStyle w:val="53"/>
              <w:snapToGrid w:val="0"/>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所有卫生区域</w:t>
            </w:r>
          </w:p>
        </w:tc>
        <w:tc>
          <w:tcPr>
            <w:tcW w:w="5676" w:type="dxa"/>
            <w:tcBorders>
              <w:top w:val="single" w:color="auto" w:sz="4" w:space="0"/>
              <w:left w:val="single" w:color="auto" w:sz="4" w:space="0"/>
              <w:bottom w:val="single" w:color="auto" w:sz="4" w:space="0"/>
              <w:right w:val="single" w:color="auto" w:sz="4" w:space="0"/>
            </w:tcBorders>
            <w:vAlign w:val="center"/>
          </w:tcPr>
          <w:p>
            <w:pPr>
              <w:pStyle w:val="53"/>
              <w:snapToGrid w:val="0"/>
              <w:spacing w:line="560" w:lineRule="exact"/>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负责全面管理工作。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437" w:type="dxa"/>
            <w:vMerge w:val="restart"/>
            <w:tcBorders>
              <w:left w:val="single" w:color="auto" w:sz="4" w:space="0"/>
              <w:right w:val="single" w:color="auto" w:sz="4" w:space="0"/>
            </w:tcBorders>
            <w:vAlign w:val="center"/>
          </w:tcPr>
          <w:p>
            <w:pPr>
              <w:pStyle w:val="53"/>
              <w:snapToGrid w:val="0"/>
              <w:spacing w:line="56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保洁人员</w:t>
            </w:r>
          </w:p>
        </w:tc>
        <w:tc>
          <w:tcPr>
            <w:tcW w:w="1900" w:type="dxa"/>
            <w:tcBorders>
              <w:top w:val="single" w:color="auto" w:sz="4" w:space="0"/>
              <w:left w:val="single" w:color="auto" w:sz="4" w:space="0"/>
              <w:bottom w:val="single" w:color="auto" w:sz="4" w:space="0"/>
              <w:right w:val="single" w:color="auto" w:sz="4" w:space="0"/>
            </w:tcBorders>
            <w:vAlign w:val="center"/>
          </w:tcPr>
          <w:p>
            <w:pPr>
              <w:pStyle w:val="53"/>
              <w:snapToGrid w:val="0"/>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行政楼</w:t>
            </w:r>
          </w:p>
        </w:tc>
        <w:tc>
          <w:tcPr>
            <w:tcW w:w="5676" w:type="dxa"/>
            <w:tcBorders>
              <w:top w:val="single" w:color="auto" w:sz="4" w:space="0"/>
              <w:left w:val="single" w:color="auto" w:sz="4" w:space="0"/>
              <w:bottom w:val="single" w:color="auto" w:sz="4" w:space="0"/>
              <w:right w:val="single" w:color="auto" w:sz="4" w:space="0"/>
            </w:tcBorders>
            <w:vAlign w:val="center"/>
          </w:tcPr>
          <w:p>
            <w:pPr>
              <w:pStyle w:val="53"/>
              <w:snapToGrid w:val="0"/>
              <w:spacing w:line="560" w:lineRule="exact"/>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负责公共走道、楼道、楼梯扶手、玻璃门窗、校长室、会议室、卫生间等的保洁。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437" w:type="dxa"/>
            <w:vMerge w:val="continue"/>
            <w:tcBorders>
              <w:left w:val="single" w:color="auto" w:sz="4" w:space="0"/>
              <w:right w:val="single" w:color="auto" w:sz="4" w:space="0"/>
            </w:tcBorders>
            <w:vAlign w:val="center"/>
          </w:tcPr>
          <w:p>
            <w:pPr>
              <w:pStyle w:val="53"/>
              <w:snapToGrid w:val="0"/>
              <w:spacing w:line="560" w:lineRule="exact"/>
              <w:jc w:val="center"/>
              <w:rPr>
                <w:rFonts w:ascii="方正仿宋_GBK" w:hAnsi="方正仿宋_GBK" w:eastAsia="方正仿宋_GBK" w:cs="方正仿宋_GBK"/>
                <w:sz w:val="24"/>
                <w:szCs w:val="24"/>
              </w:rPr>
            </w:pPr>
          </w:p>
        </w:tc>
        <w:tc>
          <w:tcPr>
            <w:tcW w:w="1900" w:type="dxa"/>
            <w:vAlign w:val="center"/>
          </w:tcPr>
          <w:p>
            <w:pPr>
              <w:pStyle w:val="53"/>
              <w:snapToGrid w:val="0"/>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教学楼</w:t>
            </w:r>
          </w:p>
        </w:tc>
        <w:tc>
          <w:tcPr>
            <w:tcW w:w="5676" w:type="dxa"/>
          </w:tcPr>
          <w:p>
            <w:pPr>
              <w:pStyle w:val="53"/>
              <w:snapToGrid w:val="0"/>
              <w:spacing w:line="56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负责所有教学楼的所有卫生间的保洁；公共走道、楼道、楼梯扶手、玻璃门窗、会议室保洁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437" w:type="dxa"/>
            <w:vMerge w:val="continue"/>
            <w:tcBorders>
              <w:left w:val="single" w:color="auto" w:sz="4" w:space="0"/>
              <w:right w:val="single" w:color="auto" w:sz="4" w:space="0"/>
            </w:tcBorders>
            <w:vAlign w:val="center"/>
          </w:tcPr>
          <w:p>
            <w:pPr>
              <w:pStyle w:val="53"/>
              <w:snapToGrid w:val="0"/>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1900" w:type="dxa"/>
            <w:vAlign w:val="center"/>
          </w:tcPr>
          <w:p>
            <w:pPr>
              <w:pStyle w:val="53"/>
              <w:snapToGrid w:val="0"/>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校园保洁</w:t>
            </w:r>
          </w:p>
        </w:tc>
        <w:tc>
          <w:tcPr>
            <w:tcW w:w="5676" w:type="dxa"/>
            <w:vAlign w:val="center"/>
          </w:tcPr>
          <w:p>
            <w:pPr>
              <w:pStyle w:val="53"/>
              <w:snapToGrid w:val="0"/>
              <w:spacing w:line="560" w:lineRule="exact"/>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校园所有路面、运动场（食堂除外）、绿化带等清扫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437" w:type="dxa"/>
            <w:vMerge w:val="continue"/>
            <w:tcBorders>
              <w:left w:val="single" w:color="auto" w:sz="4" w:space="0"/>
              <w:right w:val="single" w:color="auto" w:sz="4" w:space="0"/>
            </w:tcBorders>
            <w:vAlign w:val="center"/>
          </w:tcPr>
          <w:p>
            <w:pPr>
              <w:pStyle w:val="53"/>
              <w:snapToGrid w:val="0"/>
              <w:spacing w:line="560" w:lineRule="exact"/>
              <w:jc w:val="center"/>
              <w:rPr>
                <w:rFonts w:ascii="方正仿宋_GBK" w:hAnsi="方正仿宋_GBK" w:eastAsia="方正仿宋_GBK" w:cs="方正仿宋_GBK"/>
                <w:sz w:val="24"/>
                <w:szCs w:val="24"/>
              </w:rPr>
            </w:pPr>
          </w:p>
        </w:tc>
        <w:tc>
          <w:tcPr>
            <w:tcW w:w="1900" w:type="dxa"/>
            <w:vAlign w:val="center"/>
          </w:tcPr>
          <w:p>
            <w:pPr>
              <w:pStyle w:val="53"/>
              <w:snapToGrid w:val="0"/>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校园公共厕所</w:t>
            </w:r>
          </w:p>
        </w:tc>
        <w:tc>
          <w:tcPr>
            <w:tcW w:w="5676" w:type="dxa"/>
            <w:vAlign w:val="center"/>
          </w:tcPr>
          <w:p>
            <w:pPr>
              <w:pStyle w:val="53"/>
              <w:snapToGrid w:val="0"/>
              <w:spacing w:line="560" w:lineRule="exact"/>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负责校园公共厕所的保洁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437" w:type="dxa"/>
            <w:vMerge w:val="continue"/>
            <w:tcBorders>
              <w:left w:val="single" w:color="auto" w:sz="4" w:space="0"/>
              <w:right w:val="single" w:color="auto" w:sz="4" w:space="0"/>
            </w:tcBorders>
            <w:vAlign w:val="center"/>
          </w:tcPr>
          <w:p>
            <w:pPr>
              <w:pStyle w:val="53"/>
              <w:snapToGrid w:val="0"/>
              <w:spacing w:line="560" w:lineRule="exact"/>
              <w:jc w:val="center"/>
              <w:rPr>
                <w:rFonts w:ascii="方正仿宋_GBK" w:hAnsi="方正仿宋_GBK" w:eastAsia="方正仿宋_GBK" w:cs="方正仿宋_GBK"/>
                <w:sz w:val="24"/>
                <w:szCs w:val="24"/>
              </w:rPr>
            </w:pPr>
          </w:p>
        </w:tc>
        <w:tc>
          <w:tcPr>
            <w:tcW w:w="1900" w:type="dxa"/>
            <w:vAlign w:val="center"/>
          </w:tcPr>
          <w:p>
            <w:pPr>
              <w:pStyle w:val="53"/>
              <w:snapToGrid w:val="0"/>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垃圾清运</w:t>
            </w:r>
          </w:p>
        </w:tc>
        <w:tc>
          <w:tcPr>
            <w:tcW w:w="5676" w:type="dxa"/>
            <w:vAlign w:val="center"/>
          </w:tcPr>
          <w:p>
            <w:pPr>
              <w:pStyle w:val="53"/>
              <w:snapToGrid w:val="0"/>
              <w:spacing w:line="560" w:lineRule="exact"/>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负责校园内垃圾清运以及垃圾桶的清洁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437" w:type="dxa"/>
            <w:vMerge w:val="restart"/>
            <w:vAlign w:val="center"/>
          </w:tcPr>
          <w:p>
            <w:pPr>
              <w:pStyle w:val="53"/>
              <w:snapToGrid w:val="0"/>
              <w:spacing w:line="56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宿舍管理员</w:t>
            </w:r>
          </w:p>
        </w:tc>
        <w:tc>
          <w:tcPr>
            <w:tcW w:w="1900" w:type="dxa"/>
            <w:vAlign w:val="center"/>
          </w:tcPr>
          <w:p>
            <w:pPr>
              <w:pStyle w:val="53"/>
              <w:snapToGrid w:val="0"/>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男生宿舍</w:t>
            </w:r>
          </w:p>
        </w:tc>
        <w:tc>
          <w:tcPr>
            <w:tcW w:w="5676" w:type="dxa"/>
            <w:vAlign w:val="center"/>
          </w:tcPr>
          <w:p>
            <w:pPr>
              <w:pStyle w:val="53"/>
              <w:snapToGrid w:val="0"/>
              <w:spacing w:line="560" w:lineRule="exact"/>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负责男生宿舍楼管理工作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437" w:type="dxa"/>
            <w:vMerge w:val="continue"/>
            <w:vAlign w:val="center"/>
          </w:tcPr>
          <w:p>
            <w:pPr>
              <w:pStyle w:val="53"/>
              <w:snapToGrid w:val="0"/>
              <w:spacing w:line="560" w:lineRule="exact"/>
              <w:rPr>
                <w:rFonts w:ascii="方正仿宋_GBK" w:hAnsi="方正仿宋_GBK" w:eastAsia="方正仿宋_GBK" w:cs="方正仿宋_GBK"/>
                <w:sz w:val="24"/>
                <w:szCs w:val="24"/>
              </w:rPr>
            </w:pPr>
          </w:p>
        </w:tc>
        <w:tc>
          <w:tcPr>
            <w:tcW w:w="1900" w:type="dxa"/>
            <w:vAlign w:val="center"/>
          </w:tcPr>
          <w:p>
            <w:pPr>
              <w:pStyle w:val="53"/>
              <w:snapToGrid w:val="0"/>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女生宿舍</w:t>
            </w:r>
          </w:p>
        </w:tc>
        <w:tc>
          <w:tcPr>
            <w:tcW w:w="5676" w:type="dxa"/>
            <w:vAlign w:val="center"/>
          </w:tcPr>
          <w:p>
            <w:pPr>
              <w:pStyle w:val="53"/>
              <w:snapToGrid w:val="0"/>
              <w:spacing w:line="560" w:lineRule="exact"/>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负责女生宿舍楼管理工作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437" w:type="dxa"/>
            <w:vAlign w:val="center"/>
          </w:tcPr>
          <w:p>
            <w:pPr>
              <w:pStyle w:val="53"/>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水电工</w:t>
            </w:r>
          </w:p>
        </w:tc>
        <w:tc>
          <w:tcPr>
            <w:tcW w:w="1900" w:type="dxa"/>
            <w:vAlign w:val="center"/>
          </w:tcPr>
          <w:p>
            <w:pPr>
              <w:pStyle w:val="53"/>
              <w:snapToGrid w:val="0"/>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水电和空调维修</w:t>
            </w:r>
          </w:p>
        </w:tc>
        <w:tc>
          <w:tcPr>
            <w:tcW w:w="5676" w:type="dxa"/>
          </w:tcPr>
          <w:p>
            <w:pPr>
              <w:pStyle w:val="53"/>
              <w:snapToGrid w:val="0"/>
              <w:spacing w:line="560" w:lineRule="exact"/>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校园自来水（管）维护，水龙头、延时阀、下水管等维修更换，大小便池疏通、空调维修、电力维修改造、变电房维保等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9013" w:type="dxa"/>
            <w:gridSpan w:val="3"/>
            <w:vAlign w:val="center"/>
          </w:tcPr>
          <w:p>
            <w:pPr>
              <w:pStyle w:val="53"/>
              <w:snapToGrid w:val="0"/>
              <w:spacing w:line="560" w:lineRule="exact"/>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注：1.中标人负责校园内消防业务指导；</w:t>
            </w:r>
          </w:p>
          <w:p>
            <w:pPr>
              <w:pStyle w:val="53"/>
              <w:snapToGrid w:val="0"/>
              <w:spacing w:line="560" w:lineRule="exact"/>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2.以上服务范围中标人须按采购单位要求记录并将相关记录材料报采购单位确认。</w:t>
            </w:r>
          </w:p>
        </w:tc>
      </w:tr>
    </w:tbl>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（三）项目负责人要求</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项目负责人1人，有较强的组织协调能力，主要负责物业管理相关人员的管理、监督、培训、考核和协调工作。</w:t>
      </w:r>
    </w:p>
    <w:p>
      <w:pPr>
        <w:pStyle w:val="58"/>
        <w:spacing w:line="560" w:lineRule="exact"/>
        <w:ind w:firstLine="472"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pacing w:val="-2"/>
          <w:kern w:val="0"/>
          <w:sz w:val="24"/>
          <w:szCs w:val="24"/>
        </w:rPr>
        <w:t>备注：1、中标后，项目负责人不经采购单位同意不得擅自更换；2、采购人有权要求更换不称职的项目负责人，项目负责人试用期为3个月，试用期满后采购人视项目负责人试用期表现决定是否继续留用。</w:t>
      </w:r>
      <w:r>
        <w:rPr>
          <w:rFonts w:hint="eastAsia" w:ascii="方正仿宋_GBK" w:hAnsi="方正仿宋_GBK" w:eastAsia="方正仿宋_GBK" w:cs="方正仿宋_GBK"/>
          <w:sz w:val="24"/>
          <w:szCs w:val="24"/>
        </w:rPr>
        <w:t xml:space="preserve"> </w:t>
      </w:r>
    </w:p>
    <w:p>
      <w:pPr>
        <w:pStyle w:val="125"/>
        <w:numPr>
          <w:ilvl w:val="0"/>
          <w:numId w:val="5"/>
        </w:numPr>
        <w:spacing w:line="560" w:lineRule="exact"/>
        <w:ind w:left="0" w:firstLineChars="0"/>
        <w:rPr>
          <w:rFonts w:ascii="方正仿宋_GBK" w:hAnsi="方正仿宋_GBK" w:eastAsia="方正仿宋_GBK" w:cs="方正仿宋_GBK"/>
          <w:b/>
          <w:kern w:val="0"/>
          <w:sz w:val="24"/>
          <w:szCs w:val="24"/>
        </w:rPr>
      </w:pPr>
      <w:r>
        <w:rPr>
          <w:rFonts w:hint="eastAsia" w:ascii="方正仿宋_GBK" w:hAnsi="方正仿宋_GBK" w:eastAsia="方正仿宋_GBK" w:cs="方正仿宋_GBK"/>
          <w:b/>
          <w:kern w:val="0"/>
          <w:sz w:val="24"/>
          <w:szCs w:val="24"/>
        </w:rPr>
        <w:t>项目实施方案</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（一）服务方案</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投标人需提供服务方案，包括主要管理技术措施、主要管理方法、其他管理措施等，服务方案应全面、完整、齐全。</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1、所有员工着工作制服上班，遵守打卡（签到）制度。在上岗前对每位员工进行礼节礼貌、仪容仪表、操作规范等培训，合格者持证上岗。</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2、上班期间必须坐班，严禁无故外出，按时巡视，保证所属区域卫生干净，做到眼勤、手勤、脚勤、认真主动、不留卫生死角。</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3、确保每天上班时间不少于8小时。</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4、所有员工试行登记备案制，不得随意更换，如有特殊情况，应向使用单位申请，经同意后方可调整。</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5、投标人应制定内控制度，结合使用单位日常考核表，对员工进行日常管理。</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6、中标单位在签订合同后，须派遣相关人员进驻现场，熟悉工作范围和工程内容等，积极做好物业交接工作，人员费用由中标单位负责。</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（二）宿舍管理要求</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投标人需提供宿舍管理人员分配方案、宿舍区安全保卫方案、门禁管理方案等，方案内容应全面、齐全。</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1、宿管员要求有高度的事业心和爱心，关心爱护每一个学生，严禁体罚、变相体罚、侮辱学生，对于夜间突发疾病或意外的学生要第一时间送到医院救治并报告班主任、年级主任和学校值班校长。</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2、管理员要文明规范，严格按学校要求执行。着装整齐。</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3、宿舍管理员24小时服务值班，及时登记来访者信息。</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4、来访人员进行登记。晚间限时离开，严禁留宿。</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5、按照学校有关宿舍管理的制度，做好住校学生的服务工作。</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6、公寓内无火灾，失窃，斗殴，赌博，传播不良文化等事件和违法行为。</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7、宿舍内学生不得玩手机、不得喧哗、追逐打闹、必须按时就寝、起床。</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8、及时做好宿舍损坏物品的维修工作，确保维修时间不过夜。</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9、开关等管理规定，按学校规定执行。</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10、夜间执勤管理规定，值班人员要实行24小时不间断执勤，每晚必须按时关楼门，关楼门后必须到各楼层检查有无违章用电、用火及宿舍无外来人员现象。晚自习结束，管理员要督促各宿舍舍长及时登记汇报各个宿舍学生到宿舍情况，宿管员必须对照床铺逐个核对，未在宿舍的要落实好去处，并与班主任、年级主任联系对接。</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11、人员进出管理规定</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1.学生必须着校服出入宿舍楼门。</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2.外来人员必须到值班室登记，方可进入宿舍楼，当值门卫必须详细登记外来人员进出楼时间及会客对象。</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3.男生不准进入女生楼，女生不准进入男生楼（特殊情况除外）。</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（三）保洁管理要求</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投标人需提供保洁人员分配方案、保洁工作操作规范和流程、看护保洁（校园环境、教学楼及行政楼厕所、宿舍、公共卫生间等）、以及所有节假日、活动期间的保洁方案等，方案内容应全面、齐全。</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1、办公，教学区域卫生要求</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1.每天早上6：30至晚上18：30服从用人单位安排。</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2.要求清洁工做到对工作要积极主动、认真、不留死角。做到眼勤、手勤、脚勤。</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3.特殊事项要求：</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（1）所有厕所打扫上午4次，下午4次。</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（2）校园路面清扫上午2次，下午2次。</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（3）所有场馆：上午2次，下午2次。</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以上场所保持整洁，无异味，无卫生死角</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4.卫生间服务标准按各学校卫生间保洁标准执行：</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 xml:space="preserve">（1）门窗、墙面、瓷砖、天花板执行标准：干净、整洁、明亮、无积尘、无蜘蛛网； </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（2）洗漱台、面盆、镜面执行标准：干净、明亮、无斑点；</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（3）便坑、便池、尿斗执行标准：干净无污垢、无异味、污水管下水道畅通；</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（4）室内地面执行标准：无脚印、无污迹、无水迹；</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（5）空间：常开窗 、空气流通、无异味；</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（6）蹲位隔板、隔墙执行标准：无乱涂、乱画、乱粘贴；</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（7）水龙头、落水管执行标准：光洁、明亮、无灰尘；</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（8）手纸娄、垃圾桶执行标准：日产日清、清洁；</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（9）地漏排水执行标准：畅通。</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2、宿舍卫生打扫要求</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1.每天保持宿舍卫生干净整洁，垃圾及时清理。</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2.洗手间，洗手间的地面，每天冲刷，除掉一切污渍，进行有效灭蝇处理，及时保洁。</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走道及楼梯，清洁员每天上班时首先要清扫走廊及楼梯，从上至下清扫楼道，并将果皮、烟头、纸屑等垃圾收集在一起送到指定的垃圾中转站。将拖把洗净拧干从高层往下层逐层拖抹楼面及楼梯。用抹布自下而上擦拭楼梯扶手及栏杆。</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4.负责宿舍公共区域文化设计宣传工作，把规章制度，作息时间，卫生标准等内容布置上墙，在公共区域放置或张贴制作精美的友情提示及告知牌等。如：请注意公共卫生，防火防盗等。</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5.负责宿舍外周边的卫生。</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6.负责学校值班人员走后的纪律督察。</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7.负责制定宿舍管理制度，严格执行打分标准，以及负责宿舍的检查，评比扣分。并在每天早晨九点前将宿舍检查，评比扣分和学生违纪情况报告政教处、年级组。</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3、教学区域卫生间清洗标准</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1.每天对所管区域地面清扫不少于一次，地面无杂物、路面无泥沙、无杂草、无积水、车棚无杂物，清洁率99%以上。</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2.每天对所管区域垃圾及时清运，百分之百日产日清，做到整洁、无味，无污渍、垃圾桶每天擦拭干净。</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3.对所管区域保洁，每天达到12小时。公共场所无杂物，保洁率99%以上。</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4.所管区域特别是卫生间消毒，分季节性按学校要求进行，做到无蝇、少蚊、少蚁、达到消杀效果。</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5.对所管区域灭鼠、灭蟑螂、灭蚁按当地政府统一安排进行灭杀。</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6.卫生间地面墙面干净、瓷砖无锈渍、室内无异味，便池内外无杂物无污渍，垃圾清理及时、设备完好无损、无堵塞现象。</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4、办公楼，宿舍楼，教学楼，报告厅，体育馆，图书馆等清洁标准</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1.目视地面无杂物，无尘土，无积水，无污渍。</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2.区域内无废弃杂物、无乱堆乱放、无卫生死角、无异味等。</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3.楼道和楼梯洁净无污渍、楼梯扶手、护栏无尘土。</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4.每天所管区域清扫不少于两次，保洁率99%以上。</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5.每周对所管区域公用信箱、消防箱。灭火器材等设施设备进行一次擦拭。</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6.每周对所管区域公用部位门窗、转门、空调风口、百叶抹擦清扫一次。</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7.每天对各层公共走廊拖扫两次，公用房间清扫一次。</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（四）水电及日常维护要求；</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投标人需提供水电人员分配方案、工作规范和流程、所有节假日以及活动期间保障方案等，方案内容应全面、齐全。</w:t>
      </w:r>
    </w:p>
    <w:p>
      <w:pPr>
        <w:pStyle w:val="53"/>
        <w:spacing w:line="560" w:lineRule="exact"/>
        <w:ind w:firstLine="458" w:firstLineChars="200"/>
        <w:rPr>
          <w:rFonts w:ascii="方正仿宋_GBK" w:hAnsi="方正仿宋_GBK" w:eastAsia="方正仿宋_GBK" w:cs="方正仿宋_GBK"/>
          <w:spacing w:val="-6"/>
          <w:sz w:val="24"/>
          <w:szCs w:val="24"/>
          <w:shd w:val="clear" w:color="auto" w:fill="FFFFFE"/>
        </w:rPr>
      </w:pPr>
      <w:r>
        <w:rPr>
          <w:rFonts w:hint="eastAsia" w:ascii="方正仿宋_GBK" w:hAnsi="方正仿宋_GBK" w:eastAsia="方正仿宋_GBK" w:cs="方正仿宋_GBK"/>
          <w:b/>
          <w:bCs/>
          <w:spacing w:val="-6"/>
          <w:sz w:val="24"/>
          <w:szCs w:val="24"/>
          <w:shd w:val="clear" w:color="auto" w:fill="FFFFFE"/>
        </w:rPr>
        <w:t>★水电工具有合格维修电工证书，须提供证书原件扫描件。</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1、熟悉管理区水电管网分布，供水、供电设施及控制系统的走向位置及其养护办法并做好养护工作，密切配合供水供电部门做好管理区的供水供电服务工作。</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2、负责管理区范围内所有公共照明的检查、各种设备、设施、维护和更换工作， 并为业主提供电路、给排水设施维修服务。</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3、按照要求巡视管理区，掌握供水、供电系统的工作情况，如发现有损坏、隐患或其它不正常情况，应及时处理，履行24小时抢修职责，确保设备运行正常。</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4、负责电梯口的日常巡检，监督协助电梯修保专业单位完成电梯定期维保，电梯出现突发事故时，按照操作规程处理。</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5、熟悉强、弱电系统的操作规程，按时完成日常维保工作。</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6、严格按安全操作规程检修作业，确保作业安全，防止发生事故。</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7、执行工程巡查制度，监督房屋三次装修过程，及时发现并制止违章装修现象。</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8、定期管道、窑井管网检修维护管理。保证管道、窑井管网的畅通。</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9、妥善保管采购单位发放的各类维修工具。</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10、设备运行与维护</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1.设备运行与维护服务</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（1）突出重点，“安全第一，经济运行”的方针。</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（2）保证机电设备正常运行并做好相关记录。</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（3）承诺日常维护98%执行，设备设施完好率98%，维修及时率98%，急修及时率100%；维修工程质量合格率98%；职工满意度90%以上。</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（4）设立24小时工程报修中心，公布报修热线电话，要求对报修等数据进行汇总和统计，能随时提供相应的数据，给甲方的决策进行支持。</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（5）建立完善的规章制度和岗位职责、操作流程、应急预案。</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（6）有健全的设施设备运行维护标准化管理体系、质量管理评定体系。</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（7）中标人对项目运行设备运行维护管理，并对部门日常工作、设备、维护工作数据进行汇总和统计，能随时提供相应的数据给甲方的决策进行支持。</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（8）中标人按计划熟悉设备机房和设备运行情况，做好相关记录。</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（9）中标人对员工岗前培训，且每年至少对员工进行两次岗位培训并作好记录。</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（10）中标人指定专门能源管理人员，加强用能设备管理和能耗管理，并指定具体的节能管理措施；做好节能运行监测，每月统计能源消耗表及其分析提供给甲方。</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（11）中标人保证设备机房、值班室等责任区域内的管理制度齐全，标识清楚， 做好各种安全用具、消防用具、设备备品及维修工具的管理，保持设备责任区的清洁卫生，设备、墙面、地面干净整洁、无破损、无渗水、漏电、锈蚀现象。</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（12）中标人掌握责任区内设备的用途、参数、运行状况，健全设备档案，提出合理的设备维护保养的措施及方案计划，并对设备进行故障分析诊断。</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（13）甲方指定的第三方单位对投标方管辖的设备设施进行维修、保养、改造、施工时，中标人负责协调、配合和监管。</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（14）确保动力及配电设备24小时监护值班，值班人员严格按照国家规定持证上岗，各项作业的劳动保护符合国家规范。</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（15）中标人配合各种国家要求的检查、监测、年检工作。</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（16）中标人负责执行责任范围内的各种有关法律、法规和政策规定的其它事项。</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（17）中标人每天24小时提供紧急维修服务，对紧急报修10分钟内作出响应并及时修复，常规报修2小时内做出响应并修复。</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（18）抓好安全生产，安全责任层层落实，签订责任状，责任到组和人。承担合同期内物业委托管理范围内的安全生产主体责任。</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（19）所有运行的操作流程、制度、计划、总结、培训、考核及各种运行记录、交接班记录、排班表、能耗统计及分析等资料必须每月上交甲方。</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2.各系统运行具体要求</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（1）配电系统</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负责低压配电室内设备设施的日常操作、巡视、日常维护保养及安全工作，并做好相关记录。</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a、保持房间整洁，亮度适中，墙面地面无渗漏水现象，无易燃易爆、杂物等堆放，配电柜表面无污渍。</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b、检查桥架孔洞、墙洞封堵是否脱落，达到防水、防火、防小动物等要求； c、配电箱（柜）内元器件进行除尘紧固，无过热、异味、锈蚀现象。</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c、每日检查变压器电压、电流互感器、断路器、隔离开关、高压熔断器及避雷器、配电箱、导线等供电系统的运行状况，并定时抄表作好记录，出现异常及时处理。</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d、潮湿天气时，采用安全有效措施，保持配电房内主要电气设备干燥。g、每半年组织运行值班人员做一次应急操作演练。</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（2）给水设施</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a、保持给水设施清洁卫生，良好的通风、照明和采暖，地面排水畅通，每3个月清洗1次给水设施，保持正常运行，以防低位水池液压阀失灵，各种仪表指示稳定正常，阀门开启灵活，发现漏水及时维修；消防泵、喷淋泵、污水泵等不经常启动的水泵每月启动一次，保持水泵正常运行，每月检查一次消防泵及管道阀门，使之处于完好和政策开启状态；水泵运作部件经常加油，保持润滑灵活；标明各种标志，每日填写水泵运行记录，建档备查。</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b、每半年对给水管道进行一次全面检查维修，对轻度锈蚀应将蜕皮清理干净。各类阀门定期开关，对出现故障及时维修。</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c、每日巡视检查泵、管道、水箱、阀门、水表、状况，定期保养、维护。</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（3）照明系统</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a、负责全部照明灯具、大楼亮化及各楼层配电箱线路的维修保养及配电箱内电器元件的更换；维护线路电缆，发现问题及时上报甲方，其中包括灯具维修，插座、线路检查维修，增加电源插座等。</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b、负责设备带电系统的运行与维护，并做好相关记录。</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（4）排水系统</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a、负责给水、排水的阀门、龙头、开关等的日常维修及管线的跑、冒、滴、漏的维修工作，全部下水，地漏疏通工作及屋面天沟、雨落管等维修，并做好相关记录。</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b、每天巡查一次污水坑、集水井，每月巡查一次化粪池，每季度巡查一次污水过井，并做好相关记录。</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c、每月检查室外污水、雨水管道的排放工作情况。在非常时期（如汛期）要有应急措施，加强值班巡视。</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d、负责责任区的防汛工作。</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e、每年对污水、雨水所用潜水泵、各种循环泵类进行一次维修保养，并做好相关记录。</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（5）综合维修</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负责建筑物及室内外维护修缮工作，并做好相关记录。</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a、对责任区内的各种设备设施进行调整、检修、更换，并做好相关记录；</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b、每月巡查一次及排水竖井、配电竖井、配电间及设备层、地沟的管线、电缆沟的电缆，并做好配电箱的除尘及室内卫生，并做好相关记录。</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c、对各种未签维保协议的设备，进行日常巡视，每月巡查一次及排水竖井、配电竖井、配电间及设备层、地沟的管线、电缆沟的电缆，并做好配电箱的除尘及室内卫生，并做好相关记录。</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d、对所有设备出现故障时进行必要的应急检查、处理，并做好相关记录。</w:t>
      </w:r>
    </w:p>
    <w:p>
      <w:pPr>
        <w:pStyle w:val="125"/>
        <w:spacing w:line="560" w:lineRule="exact"/>
        <w:ind w:firstLine="458" w:firstLineChars="200"/>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pacing w:val="-6"/>
          <w:sz w:val="24"/>
          <w:szCs w:val="24"/>
          <w:shd w:val="clear" w:color="auto" w:fill="FFFFFE"/>
        </w:rPr>
        <w:t>（五）</w:t>
      </w: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b/>
          <w:bCs/>
          <w:sz w:val="24"/>
          <w:szCs w:val="24"/>
        </w:rPr>
        <w:t>工具设备、耗材等（投标人须按甲方要求配齐所有工具设备，并由甲方进行查验）：</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1、投标人须具备的设备</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洗地机不少于1台、垃圾车不少于3台（大型电动车）</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2、投标人须提供的工具、耗材</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大小尘推、尘推液；大小玻璃刮、保洁手推车、大小抹布、海绵拖把、条把、扫帚等。</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3、在满足以上基础之上，投标人需提供拟投入本项目服务的设备工具（包含保洁设备工具、运送设备工具等）装备清单，设备工具应齐全、实用。</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（六）内部考核和培训制度</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1、投标人需提供内部考核管理制度、员工培训计划及相关保证措施，制度方案内容应全面、详细。</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2、投标人应组织建立有效的管理机构，制定各项行之有效的管理规章制度，确保服务达到采购人的需求；各岗位人员都须有专门的聘用、培训、考核及保证措施，一旦中标，将严格按照考核方案进行考核。</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（七）进退场交接措施</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投标人需提供进退场交接措施和</w:t>
      </w:r>
      <w:r>
        <w:rPr>
          <w:rFonts w:hint="eastAsia" w:ascii="方正仿宋_GBK" w:hAnsi="方正仿宋_GBK" w:eastAsia="方正仿宋_GBK" w:cs="方正仿宋_GBK"/>
          <w:spacing w:val="-2"/>
          <w:kern w:val="0"/>
          <w:sz w:val="24"/>
          <w:szCs w:val="24"/>
          <w:highlight w:val="green"/>
        </w:rPr>
        <w:t>与</w:t>
      </w:r>
      <w:r>
        <w:rPr>
          <w:rFonts w:hint="eastAsia" w:ascii="方正仿宋_GBK" w:hAnsi="方正仿宋_GBK" w:eastAsia="方正仿宋_GBK" w:cs="方正仿宋_GBK"/>
          <w:spacing w:val="-2"/>
          <w:kern w:val="0"/>
          <w:sz w:val="24"/>
          <w:szCs w:val="24"/>
        </w:rPr>
        <w:t>采购方的配合方案，方案内容应全面、详细。</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1、交接班前当班人员必须填好各项登记记录，并做好在岗期间的工作日记。</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2、交接班时，下班人员要把本班的工作情况详细交接给下一班，以备下一班人工作，钥匙、工具等物品要交接清楚，并在交接班记录上签名。</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3、必须按时交接班，无特殊情况不得超接班，接班人未到，交班人不得擅自离开岗位，否则有产生的一切后果由乙方负责。</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（八）应对突发事件预案</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投标人需提供应对火灾、爆炸、安全疏导、其他应急灯，以及卫生消毒、清洁环保、洪涝、雨雪、停电、停水及其他突发性事件有相对完善的应急预案内容，应急处理措施成熟、方案应全面利于执行、与采购单位配合度高。</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1、火灾：一旦有火灾发生，应做到以下几点</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1.迅速拨打119报警。并及时向学校领导汇报。</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2.迅速疏散学生，打开安全通道组织学生有序的进行紧急疏散到安全地带。</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3.利用现有设备迅速灭火。</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2、学生生病</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对于夜间突发疾病或者发生意外的学生第一时间送治并报告班主任、年级主任、学校值班校长。</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3、治安事件</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学生宿舍发生失窃、打架斗殴、校外人员</w:t>
      </w:r>
      <w:r>
        <w:rPr>
          <w:rFonts w:hint="eastAsia" w:ascii="方正仿宋_GBK" w:hAnsi="方正仿宋_GBK" w:eastAsia="方正仿宋_GBK" w:cs="方正仿宋_GBK"/>
          <w:spacing w:val="-2"/>
          <w:kern w:val="0"/>
          <w:sz w:val="24"/>
          <w:szCs w:val="24"/>
          <w:highlight w:val="green"/>
        </w:rPr>
        <w:t>寻衅</w:t>
      </w:r>
      <w:r>
        <w:rPr>
          <w:rFonts w:hint="eastAsia" w:ascii="方正仿宋_GBK" w:hAnsi="方正仿宋_GBK" w:eastAsia="方正仿宋_GBK" w:cs="方正仿宋_GBK"/>
          <w:spacing w:val="-2"/>
          <w:kern w:val="0"/>
          <w:sz w:val="24"/>
          <w:szCs w:val="24"/>
        </w:rPr>
        <w:t>滋事及其他治安或刑事案件时，宿舍管理人员应按以下步骤进行处置。</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1.报告、迅速拨打校内保安处执勤电话。说明具体地点和简单情况。</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2.处理。宿舍管理人立即到达现场隔离当事人、同时疏散围观人员，如当事人不听制止，要及时报告公安机关。</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3.值班，宿舍管理员要积极配合相关部门的调查。如实汇报所了解情况。</w:t>
      </w:r>
    </w:p>
    <w:p>
      <w:pPr>
        <w:pStyle w:val="58"/>
        <w:spacing w:line="560" w:lineRule="exact"/>
        <w:ind w:firstLine="482" w:firstLineChars="200"/>
        <w:rPr>
          <w:rFonts w:ascii="方正仿宋_GBK" w:hAnsi="方正仿宋_GBK" w:eastAsia="方正仿宋_GBK" w:cs="方正仿宋_GBK"/>
          <w:b/>
          <w:kern w:val="0"/>
          <w:sz w:val="24"/>
          <w:szCs w:val="24"/>
        </w:rPr>
      </w:pPr>
      <w:r>
        <w:rPr>
          <w:rFonts w:hint="eastAsia" w:ascii="方正仿宋_GBK" w:hAnsi="方正仿宋_GBK" w:eastAsia="方正仿宋_GBK" w:cs="方正仿宋_GBK"/>
          <w:b/>
          <w:kern w:val="0"/>
          <w:sz w:val="24"/>
          <w:szCs w:val="24"/>
        </w:rPr>
        <w:t>四、其他要求</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一）本项目不接受备选的投标方案或有选择的报价，只允许有一个报价。投标报价内容包括：服务本身价格、服务人员工资福利、耗材、服务技能培训、售后服务、利润、税费、服务过程中涉及到的其他一切费用，清单表格不全可另列。</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（二）投标人报价时应充分考虑所有可能影响到报价的因素，一旦评标结束最终中标，如发生漏、缺、少项，都将被认为是中标人的报价让利行为，损失自负。</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（三）履约期间，中标人按时按月发放人员工资，工资标准不得低于宿迁市当年最低工资标准要求。</w:t>
      </w:r>
      <w:r>
        <w:rPr>
          <w:rFonts w:hint="eastAsia" w:ascii="方正仿宋_GBK" w:hAnsi="方正仿宋_GBK" w:eastAsia="方正仿宋_GBK" w:cs="方正仿宋_GBK"/>
          <w:spacing w:val="-2"/>
          <w:kern w:val="0"/>
          <w:sz w:val="24"/>
          <w:szCs w:val="24"/>
          <w:highlight w:val="green"/>
        </w:rPr>
        <w:t>发现未按时按月发放人员工资的情况达三次以上</w:t>
      </w:r>
      <w:r>
        <w:rPr>
          <w:rFonts w:hint="eastAsia" w:ascii="方正仿宋_GBK" w:hAnsi="方正仿宋_GBK" w:eastAsia="方正仿宋_GBK" w:cs="方正仿宋_GBK"/>
          <w:spacing w:val="-2"/>
          <w:kern w:val="0"/>
          <w:sz w:val="24"/>
          <w:szCs w:val="24"/>
        </w:rPr>
        <w:t>，采购人有权单方立即终止本项目服务合同，清退出场，由此产生一切法律责任和经济损失均由中标人承担。</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（四）履约期间，如发生中标人的工作人员工伤或人身伤亡事故，均由中标人负责，与采购人无关。</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（五）项目管理人员相关费用在管理费中列支，投标报价应考虑此项费用，今后不单独结算。</w:t>
      </w:r>
    </w:p>
    <w:p>
      <w:pPr>
        <w:pStyle w:val="178"/>
        <w:spacing w:line="56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kern w:val="0"/>
          <w:sz w:val="24"/>
          <w:szCs w:val="24"/>
        </w:rPr>
        <w:t>五、日常考核办法</w:t>
      </w:r>
    </w:p>
    <w:p>
      <w:pPr>
        <w:pStyle w:val="2"/>
        <w:jc w:val="both"/>
        <w:rPr>
          <w:rFonts w:ascii="Times New Roman" w:eastAsia="黑体"/>
          <w:bCs/>
          <w:sz w:val="44"/>
        </w:rPr>
      </w:pPr>
    </w:p>
    <w:tbl>
      <w:tblPr>
        <w:tblStyle w:val="44"/>
        <w:tblW w:w="9750" w:type="dxa"/>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795"/>
        <w:gridCol w:w="1260"/>
        <w:gridCol w:w="4950"/>
        <w:gridCol w:w="1020"/>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序号</w:t>
            </w:r>
          </w:p>
        </w:tc>
        <w:tc>
          <w:tcPr>
            <w:tcW w:w="795" w:type="dxa"/>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考核项目</w:t>
            </w:r>
          </w:p>
        </w:tc>
        <w:tc>
          <w:tcPr>
            <w:tcW w:w="1260" w:type="dxa"/>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考核内容</w:t>
            </w:r>
          </w:p>
        </w:tc>
        <w:tc>
          <w:tcPr>
            <w:tcW w:w="4950" w:type="dxa"/>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考核标准</w:t>
            </w:r>
          </w:p>
        </w:tc>
        <w:tc>
          <w:tcPr>
            <w:tcW w:w="1020" w:type="dxa"/>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存在</w:t>
            </w:r>
          </w:p>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问题</w:t>
            </w:r>
          </w:p>
        </w:tc>
        <w:tc>
          <w:tcPr>
            <w:tcW w:w="975" w:type="dxa"/>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pPr>
              <w:pStyle w:val="178"/>
              <w:spacing w:line="500" w:lineRule="exact"/>
              <w:jc w:val="center"/>
              <w:rPr>
                <w:rFonts w:hint="eastAsia" w:ascii="方正仿宋_GBK" w:hAnsi="方正仿宋_GBK" w:eastAsia="方正仿宋_GBK" w:cs="方正仿宋_GBK"/>
                <w:b/>
                <w:sz w:val="24"/>
                <w:szCs w:val="24"/>
                <w:vertAlign w:val="baseline"/>
                <w:lang w:val="en-US" w:eastAsia="zh-CN"/>
              </w:rPr>
            </w:pPr>
            <w:r>
              <w:rPr>
                <w:rFonts w:hint="eastAsia" w:ascii="方正仿宋_GBK" w:hAnsi="方正仿宋_GBK" w:eastAsia="方正仿宋_GBK" w:cs="方正仿宋_GBK"/>
                <w:b/>
                <w:sz w:val="24"/>
                <w:szCs w:val="24"/>
                <w:vertAlign w:val="baseline"/>
                <w:lang w:val="en-US" w:eastAsia="zh-CN"/>
              </w:rPr>
              <w:t>1</w:t>
            </w:r>
          </w:p>
        </w:tc>
        <w:tc>
          <w:tcPr>
            <w:tcW w:w="795" w:type="dxa"/>
            <w:vMerge w:val="restart"/>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保洁考核（</w:t>
            </w:r>
            <w:r>
              <w:rPr>
                <w:rFonts w:hint="eastAsia" w:ascii="方正仿宋_GBK" w:hAnsi="方正仿宋_GBK" w:eastAsia="方正仿宋_GBK" w:cs="方正仿宋_GBK"/>
                <w:b/>
                <w:sz w:val="24"/>
                <w:szCs w:val="24"/>
                <w:vertAlign w:val="baseline"/>
                <w:lang w:val="en-US" w:eastAsia="zh-CN"/>
              </w:rPr>
              <w:t>40分</w:t>
            </w:r>
            <w:r>
              <w:rPr>
                <w:rFonts w:hint="eastAsia" w:ascii="方正仿宋_GBK" w:hAnsi="方正仿宋_GBK" w:eastAsia="方正仿宋_GBK" w:cs="方正仿宋_GBK"/>
                <w:b/>
                <w:sz w:val="24"/>
                <w:szCs w:val="24"/>
                <w:vertAlign w:val="baseline"/>
                <w:lang w:eastAsia="zh-CN"/>
              </w:rPr>
              <w:t>）</w:t>
            </w:r>
          </w:p>
        </w:tc>
        <w:tc>
          <w:tcPr>
            <w:tcW w:w="1260" w:type="dxa"/>
            <w:vAlign w:val="center"/>
          </w:tcPr>
          <w:p>
            <w:pPr>
              <w:pStyle w:val="178"/>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eastAsia="zh-CN"/>
              </w:rPr>
            </w:pPr>
            <w:r>
              <w:rPr>
                <w:rFonts w:hint="eastAsia" w:ascii="方正仿宋_GB2312" w:hAnsi="方正仿宋_GB2312" w:eastAsia="方正仿宋_GB2312" w:cs="方正仿宋_GB2312"/>
                <w:b/>
                <w:bCs w:val="0"/>
                <w:sz w:val="22"/>
                <w:szCs w:val="22"/>
                <w:vertAlign w:val="baseline"/>
                <w:lang w:eastAsia="zh-CN"/>
              </w:rPr>
              <w:t>（一）卫生间保洁</w:t>
            </w:r>
          </w:p>
        </w:tc>
        <w:tc>
          <w:tcPr>
            <w:tcW w:w="4950" w:type="dxa"/>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教学区每间卫生间每天必须打扫4次（上下午各两次），特别需要的，每节课（上课时）打扫一次。每天必须正常保持每个卫生间洁净明亮。</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1.便盆无积粪、黄垢，便盆整体洁白干净，不干净扣0.5-2分，不清理扣2分。蹲位台面、墙面洁净无垃圾、污渍，不干净扣0.5-1分。小便斗无尿垢黄锈、无杂物、洁白干净，不干净扣0.5-2分。</w:t>
            </w:r>
          </w:p>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2.独立间板面无乱贴画、刻画、污渍，不干净扣1分。放置卫生纸等物的垃圾桶要及时清理，没有及时清理的扣0.5-2分。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3.涮拖把池、洗手盆池、盆池台面、镜面干净无污物，不干净扣0.5-2分。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4.地面、墙面、门窗、顶棚无积水、垃圾、灰尘、蜘蛛网、污渍，不干净扣0.5-2分。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5.打扫工具规范摆放，摆放凌乱扣0.5-1分。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sz w:val="22"/>
                <w:szCs w:val="22"/>
                <w:vertAlign w:val="baseline"/>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6.室内设施损坏（水龙头漏水、管道堵塞等）及时报修，不及时报修扣2分。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7.卫生间内不允许摆放其他不属于室内设施的物品，（个人物品、电动自行车等）如有上述物品一经发现没及时清理扣1-2分。</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restart"/>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eastAsia="zh-CN"/>
              </w:rPr>
            </w:pPr>
            <w:r>
              <w:rPr>
                <w:rFonts w:hint="eastAsia" w:ascii="方正仿宋_GB2312" w:hAnsi="方正仿宋_GB2312" w:eastAsia="方正仿宋_GB2312" w:cs="方正仿宋_GB2312"/>
                <w:b/>
                <w:bCs w:val="0"/>
                <w:sz w:val="22"/>
                <w:szCs w:val="22"/>
                <w:vertAlign w:val="baseline"/>
                <w:lang w:eastAsia="zh-CN"/>
              </w:rPr>
              <w:t>（二）茶水间保洁</w:t>
            </w:r>
          </w:p>
        </w:tc>
        <w:tc>
          <w:tcPr>
            <w:tcW w:w="4950" w:type="dxa"/>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sz w:val="22"/>
                <w:szCs w:val="22"/>
                <w:vertAlign w:val="baseline"/>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茶水间每天必须打扫4次（上下午各两次），特别需要的，每节课（上课时）打扫一次。每天必须正常保持每个茶水间洁净明亮。</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1.饮水机表面无污渍、灰尘，放水台无茶叶、垃圾等，不干净扣0.5-2分。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2.洗漱池、池上置物台面整体洁净无茶叶、茶包、垃圾杂物等，不干净扣0.5-2分。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3.清倒废茶叶、茶包的垃圾桶要及时清理（以防蚊虫滋生），没有及时清理的扣0.5-2分。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4.地面、墙面、门窗、顶棚无积水、垃圾、灰尘、蜘蛛网、污渍，不干净扣1-4分。</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rPr>
            </w:pPr>
            <w:r>
              <w:rPr>
                <w:rFonts w:hint="eastAsia" w:ascii="方正仿宋_GB2312" w:hAnsi="方正仿宋_GB2312" w:eastAsia="方正仿宋_GB2312" w:cs="方正仿宋_GB2312"/>
                <w:b/>
                <w:bCs w:val="0"/>
                <w:i w:val="0"/>
                <w:iCs w:val="0"/>
                <w:color w:val="000000"/>
                <w:sz w:val="22"/>
                <w:szCs w:val="22"/>
                <w:highlight w:val="none"/>
                <w:u w:val="none"/>
                <w:lang w:val="en-US" w:eastAsia="zh-CN" w:bidi="ar"/>
              </w:rPr>
              <w:t>（三）校园各道路、场地、园区、绿化带保洁</w:t>
            </w:r>
          </w:p>
        </w:tc>
        <w:tc>
          <w:tcPr>
            <w:tcW w:w="4950"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lang w:val="en-US" w:eastAsia="zh-CN" w:bidi="ar"/>
              </w:rPr>
              <w:t>1.</w:t>
            </w:r>
            <w:r>
              <w:rPr>
                <w:rFonts w:hint="eastAsia" w:ascii="方正仿宋_GB2312" w:hAnsi="方正仿宋_GB2312" w:eastAsia="方正仿宋_GB2312" w:cs="方正仿宋_GB2312"/>
                <w:i w:val="0"/>
                <w:iCs w:val="0"/>
                <w:color w:val="000000"/>
                <w:sz w:val="22"/>
                <w:szCs w:val="22"/>
                <w:highlight w:val="none"/>
                <w:u w:val="none"/>
                <w:lang w:val="en-US" w:eastAsia="zh-CN" w:bidi="ar"/>
              </w:rPr>
              <w:t>校园各道路（校园内所有道路）：道路地面整洁干净无积水、垃圾、杂草、杂物，无卫生死角，地面不干净扣0.5-1分，卫生死角有垃圾污渍扣0.5分，地面落叶、路牙缝隙杂草及时清扫、不及时清扫扣0.5分。绿化带无明显垃圾，看到两处以上明显垃圾扣0.5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sz w:val="22"/>
                <w:szCs w:val="22"/>
                <w:vertAlign w:val="baseline"/>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2.校园各场地（各楼栋前后场地、操场、篮球场、足球场、停车场、广场等）：地面整洁干净无积水、垃圾、杂草、杂物，无卫生死角，场地不干净扣0.5-2分，场地有太厚落叶要及时清扫，不及时清扫扣0.5分。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3.校园内道路地面整洁干净无积水、垃圾、杂草、杂物，道路不干净扣0.5-1分。设施保持洁净明亮无灰尘、污渍、乱刻画、不洁净扣0.5-2分。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4.绿化带（校园内所有绿化带）：绿化带无太厚落叶、太多砖石、太多枯枝，不及时清理扣0.5-2分，绿化带无明显垃圾，看到两处以上明显垃圾扣0.5分。</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rPr>
            </w:pPr>
            <w:r>
              <w:rPr>
                <w:rFonts w:hint="eastAsia" w:ascii="方正仿宋_GB2312" w:hAnsi="方正仿宋_GB2312" w:eastAsia="方正仿宋_GB2312" w:cs="方正仿宋_GB2312"/>
                <w:b/>
                <w:bCs w:val="0"/>
                <w:i w:val="0"/>
                <w:iCs w:val="0"/>
                <w:color w:val="000000"/>
                <w:sz w:val="22"/>
                <w:szCs w:val="22"/>
                <w:highlight w:val="none"/>
                <w:u w:val="none"/>
                <w:lang w:val="en-US" w:eastAsia="zh-CN" w:bidi="ar"/>
              </w:rPr>
              <w:t xml:space="preserve">（四）各办公室、会议室、阶梯教室、报告厅、场馆、保洁         </w:t>
            </w:r>
          </w:p>
        </w:tc>
        <w:tc>
          <w:tcPr>
            <w:tcW w:w="4950"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1.办公室、会议室、阶梯教室、报告厅、各场馆每天保持室内外干净整洁，地面、墙面、门窗、顶棚无垃圾、灰尘、蜘蛛网、污渍，不干净整洁扣0.5-1分，没打扫扣2分。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auto"/>
              <w:rPr>
                <w:rFonts w:hint="eastAsia" w:ascii="方正仿宋_GB2312" w:hAnsi="方正仿宋_GB2312" w:eastAsia="方正仿宋_GB2312" w:cs="方正仿宋_GB2312"/>
                <w:i w:val="0"/>
                <w:iCs w:val="0"/>
                <w:color w:val="000000"/>
                <w:sz w:val="22"/>
                <w:szCs w:val="22"/>
                <w:highlight w:val="none"/>
                <w:u w:val="none"/>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2.室内设施保持洁净明亮无灰尘、污渍、乱刻画、不洁净扣0.5-2分。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sz w:val="22"/>
                <w:szCs w:val="22"/>
                <w:vertAlign w:val="baseline"/>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3.打扫行政办公室、会议室的保洁员，学校随时有任务必须及时到位，不及时到位的扣2分。</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rPr>
            </w:pPr>
            <w:r>
              <w:rPr>
                <w:rFonts w:hint="eastAsia" w:ascii="方正仿宋_GB2312" w:hAnsi="方正仿宋_GB2312" w:eastAsia="方正仿宋_GB2312" w:cs="方正仿宋_GB2312"/>
                <w:b/>
                <w:bCs w:val="0"/>
                <w:i w:val="0"/>
                <w:iCs w:val="0"/>
                <w:color w:val="000000"/>
                <w:sz w:val="22"/>
                <w:szCs w:val="22"/>
                <w:highlight w:val="none"/>
                <w:u w:val="none"/>
                <w:lang w:val="en-US" w:eastAsia="zh-CN" w:bidi="ar"/>
              </w:rPr>
              <w:t xml:space="preserve">（五）综合楼、办公楼、风雨操场及功能性场馆保洁 </w:t>
            </w:r>
          </w:p>
        </w:tc>
        <w:tc>
          <w:tcPr>
            <w:tcW w:w="4950" w:type="dxa"/>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sz w:val="22"/>
                <w:szCs w:val="22"/>
                <w:vertAlign w:val="baseline"/>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1.楼栋的楼梯、楼梯扶手、楼层走道每天保持干净无垃圾无灰尘，墙壁、顶棚无污渍、蛛网、一项不达标准扣0.5-1分，没打扫扣2分。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2.楼栋所属办公室、会议室、教室、报告厅、卫生间、各场馆保洁考核标准同第一、四大项。</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3.楼栋前后道路、场地、绿化带保洁考核标准同第三大项。</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eastAsia="zh-CN"/>
              </w:rPr>
            </w:pPr>
            <w:r>
              <w:rPr>
                <w:rFonts w:hint="eastAsia" w:ascii="方正仿宋_GB2312" w:hAnsi="方正仿宋_GB2312" w:eastAsia="方正仿宋_GB2312" w:cs="方正仿宋_GB2312"/>
                <w:b/>
                <w:bCs w:val="0"/>
                <w:sz w:val="22"/>
                <w:szCs w:val="22"/>
                <w:vertAlign w:val="baseline"/>
                <w:lang w:eastAsia="zh-CN"/>
              </w:rPr>
              <w:t>（六）垃圾清理</w:t>
            </w:r>
          </w:p>
        </w:tc>
        <w:tc>
          <w:tcPr>
            <w:tcW w:w="4950" w:type="dxa"/>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1.日常垃圾清运：每天早上7:00至8:30之间，将校园内各生活垃圾收集点垃圾清运完，如没有及时清运或有遗漏每次扣1分。如有大型活动（考试布置、校庆等）产生的大量垃圾，应积极配合，增派人员及车辆，调整清运频次及作业时间，保障学校活动顺利进行。否则每次扣5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2.特殊垃圾清运：定期清运特殊垃圾。（零星维修产生的建筑垃圾、绿化产生的杂草、落叶、树枝、废旧家具等非生活垃圾）特殊垃圾收集点堆满应及时清运，如没有及时清运或有遗漏每次扣2分。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3.清运后的垃圾收集点地面应无残留垃圾，如有残留垃圾，根据残留量大小每次扣0.5-2分。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4.垃圾清运车辆应保持外观整洁，无垃圾外挂、滴漏等现象。发现一次扣1分。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5.垃圾清运人员应自觉遵守学校管理制度，清运工作做到安全、有序，文明作业，不得影响学校正常教学秩序。否则每次扣2分。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sz w:val="22"/>
                <w:szCs w:val="22"/>
                <w:vertAlign w:val="baseline"/>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 xml:space="preserve">6.清运过程中应确保安全，无安全事故发生。若发生轻微安全事故扣2分，严重安全事故则扣除当月全部分数。 </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rPr>
            </w:pPr>
            <w:r>
              <w:rPr>
                <w:rFonts w:hint="eastAsia" w:ascii="方正仿宋_GB2312" w:hAnsi="方正仿宋_GB2312" w:eastAsia="方正仿宋_GB2312" w:cs="方正仿宋_GB2312"/>
                <w:b/>
                <w:bCs w:val="0"/>
                <w:i w:val="0"/>
                <w:iCs w:val="0"/>
                <w:color w:val="000000"/>
                <w:sz w:val="22"/>
                <w:szCs w:val="22"/>
                <w:highlight w:val="none"/>
                <w:u w:val="none"/>
                <w:lang w:val="en-US" w:eastAsia="zh-CN" w:bidi="ar"/>
              </w:rPr>
              <w:t xml:space="preserve">（七）其他事项 </w:t>
            </w:r>
          </w:p>
        </w:tc>
        <w:tc>
          <w:tcPr>
            <w:tcW w:w="4950" w:type="dxa"/>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rPr>
            </w:pPr>
            <w:r>
              <w:rPr>
                <w:rFonts w:hint="eastAsia" w:ascii="方正仿宋_GB2312" w:hAnsi="方正仿宋_GB2312" w:eastAsia="方正仿宋_GB2312" w:cs="方正仿宋_GB2312"/>
                <w:b w:val="0"/>
                <w:bCs/>
                <w:sz w:val="22"/>
                <w:szCs w:val="22"/>
                <w:vertAlign w:val="baseline"/>
                <w:lang w:val="en-US" w:eastAsia="zh-CN"/>
              </w:rPr>
              <w:t>1.</w:t>
            </w:r>
            <w:r>
              <w:rPr>
                <w:rFonts w:hint="eastAsia" w:ascii="方正仿宋_GB2312" w:hAnsi="方正仿宋_GB2312" w:eastAsia="方正仿宋_GB2312" w:cs="方正仿宋_GB2312"/>
                <w:b w:val="0"/>
                <w:bCs/>
                <w:sz w:val="22"/>
                <w:szCs w:val="22"/>
                <w:vertAlign w:val="baseline"/>
              </w:rPr>
              <w:t>严格执行作息制度按时上下班，无故迟到或早退扣2分。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rPr>
            </w:pPr>
            <w:r>
              <w:rPr>
                <w:rFonts w:hint="eastAsia" w:ascii="方正仿宋_GB2312" w:hAnsi="方正仿宋_GB2312" w:eastAsia="方正仿宋_GB2312" w:cs="方正仿宋_GB2312"/>
                <w:b w:val="0"/>
                <w:bCs/>
                <w:sz w:val="22"/>
                <w:szCs w:val="22"/>
                <w:vertAlign w:val="baseline"/>
                <w:lang w:val="en-US" w:eastAsia="zh-CN"/>
              </w:rPr>
              <w:t>2.</w:t>
            </w:r>
            <w:r>
              <w:rPr>
                <w:rFonts w:hint="eastAsia" w:ascii="方正仿宋_GB2312" w:hAnsi="方正仿宋_GB2312" w:eastAsia="方正仿宋_GB2312" w:cs="方正仿宋_GB2312"/>
                <w:b w:val="0"/>
                <w:bCs/>
                <w:sz w:val="22"/>
                <w:szCs w:val="22"/>
                <w:vertAlign w:val="baseline"/>
              </w:rPr>
              <w:t>每日做好保洁工作，无脱岗、串岗现象。发现串岗的每次扣1分、不请假无故脱岗扣2分。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rPr>
            </w:pPr>
            <w:r>
              <w:rPr>
                <w:rFonts w:hint="eastAsia" w:ascii="方正仿宋_GB2312" w:hAnsi="方正仿宋_GB2312" w:eastAsia="方正仿宋_GB2312" w:cs="方正仿宋_GB2312"/>
                <w:b w:val="0"/>
                <w:bCs/>
                <w:sz w:val="22"/>
                <w:szCs w:val="22"/>
                <w:vertAlign w:val="baseline"/>
                <w:lang w:val="en-US" w:eastAsia="zh-CN"/>
              </w:rPr>
              <w:t>3.</w:t>
            </w:r>
            <w:r>
              <w:rPr>
                <w:rFonts w:hint="eastAsia" w:ascii="方正仿宋_GB2312" w:hAnsi="方正仿宋_GB2312" w:eastAsia="方正仿宋_GB2312" w:cs="方正仿宋_GB2312"/>
                <w:b w:val="0"/>
                <w:bCs/>
                <w:sz w:val="22"/>
                <w:szCs w:val="22"/>
                <w:vertAlign w:val="baseline"/>
              </w:rPr>
              <w:t>做好上班期间责任区公共设施的检查报修工作，不及时报修扣2分。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rPr>
            </w:pPr>
            <w:r>
              <w:rPr>
                <w:rFonts w:hint="eastAsia" w:ascii="方正仿宋_GB2312" w:hAnsi="方正仿宋_GB2312" w:eastAsia="方正仿宋_GB2312" w:cs="方正仿宋_GB2312"/>
                <w:b w:val="0"/>
                <w:bCs/>
                <w:sz w:val="22"/>
                <w:szCs w:val="22"/>
                <w:vertAlign w:val="baseline"/>
                <w:lang w:val="en-US" w:eastAsia="zh-CN"/>
              </w:rPr>
              <w:t>4.</w:t>
            </w:r>
            <w:r>
              <w:rPr>
                <w:rFonts w:hint="eastAsia" w:ascii="方正仿宋_GB2312" w:hAnsi="方正仿宋_GB2312" w:eastAsia="方正仿宋_GB2312" w:cs="方正仿宋_GB2312"/>
                <w:b w:val="0"/>
                <w:bCs/>
                <w:sz w:val="22"/>
                <w:szCs w:val="22"/>
                <w:vertAlign w:val="baseline"/>
              </w:rPr>
              <w:t>积极完成学校领导交办的其它保洁工作，不服从安排每次扣2分。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rPr>
            </w:pPr>
            <w:r>
              <w:rPr>
                <w:rFonts w:hint="eastAsia" w:ascii="方正仿宋_GB2312" w:hAnsi="方正仿宋_GB2312" w:eastAsia="方正仿宋_GB2312" w:cs="方正仿宋_GB2312"/>
                <w:b w:val="0"/>
                <w:bCs/>
                <w:sz w:val="22"/>
                <w:szCs w:val="22"/>
                <w:vertAlign w:val="baseline"/>
                <w:lang w:val="en-US" w:eastAsia="zh-CN"/>
              </w:rPr>
              <w:t>5.</w:t>
            </w:r>
            <w:r>
              <w:rPr>
                <w:rFonts w:hint="eastAsia" w:ascii="方正仿宋_GB2312" w:hAnsi="方正仿宋_GB2312" w:eastAsia="方正仿宋_GB2312" w:cs="方正仿宋_GB2312"/>
                <w:b w:val="0"/>
                <w:bCs/>
                <w:sz w:val="22"/>
                <w:szCs w:val="22"/>
                <w:vertAlign w:val="baseline"/>
              </w:rPr>
              <w:t>工作当中不大声喧哗，劳作尽量减少噪音，不能影响师生学习与工作。造成影响的扣2分。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rPr>
            </w:pPr>
            <w:r>
              <w:rPr>
                <w:rFonts w:hint="eastAsia" w:ascii="方正仿宋_GB2312" w:hAnsi="方正仿宋_GB2312" w:eastAsia="方正仿宋_GB2312" w:cs="方正仿宋_GB2312"/>
                <w:b w:val="0"/>
                <w:bCs/>
                <w:sz w:val="22"/>
                <w:szCs w:val="22"/>
                <w:vertAlign w:val="baseline"/>
                <w:lang w:val="en-US" w:eastAsia="zh-CN"/>
              </w:rPr>
              <w:t>6.</w:t>
            </w:r>
            <w:r>
              <w:rPr>
                <w:rFonts w:hint="eastAsia" w:ascii="方正仿宋_GB2312" w:hAnsi="方正仿宋_GB2312" w:eastAsia="方正仿宋_GB2312" w:cs="方正仿宋_GB2312"/>
                <w:b w:val="0"/>
                <w:bCs/>
                <w:sz w:val="22"/>
                <w:szCs w:val="22"/>
                <w:vertAlign w:val="baseline"/>
              </w:rPr>
              <w:t>保洁团队应团结友爱、互帮互助。保洁成员因琐事发生吵架、斗殴，扣10分，情节严重移送公安机关处理。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rPr>
            </w:pPr>
            <w:r>
              <w:rPr>
                <w:rFonts w:hint="eastAsia" w:ascii="方正仿宋_GB2312" w:hAnsi="方正仿宋_GB2312" w:eastAsia="方正仿宋_GB2312" w:cs="方正仿宋_GB2312"/>
                <w:b w:val="0"/>
                <w:bCs/>
                <w:sz w:val="22"/>
                <w:szCs w:val="22"/>
                <w:vertAlign w:val="baseline"/>
                <w:lang w:val="en-US" w:eastAsia="zh-CN"/>
              </w:rPr>
              <w:t>7.</w:t>
            </w:r>
            <w:r>
              <w:rPr>
                <w:rFonts w:hint="eastAsia" w:ascii="方正仿宋_GB2312" w:hAnsi="方正仿宋_GB2312" w:eastAsia="方正仿宋_GB2312" w:cs="方正仿宋_GB2312"/>
                <w:b w:val="0"/>
                <w:bCs/>
                <w:sz w:val="22"/>
                <w:szCs w:val="22"/>
                <w:vertAlign w:val="baseline"/>
              </w:rPr>
              <w:t>因保洁工作没做到位，被老师、学生投诉的(反应到教师群等)，一次扣3分。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rPr>
            </w:pPr>
            <w:r>
              <w:rPr>
                <w:rFonts w:hint="eastAsia" w:ascii="方正仿宋_GB2312" w:hAnsi="方正仿宋_GB2312" w:eastAsia="方正仿宋_GB2312" w:cs="方正仿宋_GB2312"/>
                <w:b w:val="0"/>
                <w:bCs/>
                <w:sz w:val="22"/>
                <w:szCs w:val="22"/>
                <w:vertAlign w:val="baseline"/>
                <w:lang w:val="en-US" w:eastAsia="zh-CN"/>
              </w:rPr>
              <w:t>8.</w:t>
            </w:r>
            <w:r>
              <w:rPr>
                <w:rFonts w:hint="eastAsia" w:ascii="方正仿宋_GB2312" w:hAnsi="方正仿宋_GB2312" w:eastAsia="方正仿宋_GB2312" w:cs="方正仿宋_GB2312"/>
                <w:b w:val="0"/>
                <w:bCs/>
                <w:sz w:val="22"/>
                <w:szCs w:val="22"/>
                <w:vertAlign w:val="baseline"/>
              </w:rPr>
              <w:t>上班期间不得做与工作无关的事情，（如捡拾垃圾贩卖，做个人私事等）如有发现一次扣2分。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default"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9.现场人员月度流动率不大于 10%，若大于每次口1分。</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750" w:type="dxa"/>
            <w:vMerge w:val="restart"/>
            <w:vAlign w:val="center"/>
          </w:tcPr>
          <w:p>
            <w:pPr>
              <w:pStyle w:val="178"/>
              <w:spacing w:line="500" w:lineRule="exact"/>
              <w:jc w:val="center"/>
              <w:rPr>
                <w:rFonts w:hint="eastAsia" w:ascii="方正仿宋_GBK" w:hAnsi="方正仿宋_GBK" w:eastAsia="方正仿宋_GBK" w:cs="方正仿宋_GBK"/>
                <w:b/>
                <w:sz w:val="24"/>
                <w:szCs w:val="24"/>
                <w:vertAlign w:val="baseline"/>
                <w:lang w:val="en-US" w:eastAsia="zh-CN"/>
              </w:rPr>
            </w:pPr>
            <w:r>
              <w:rPr>
                <w:rFonts w:hint="eastAsia" w:ascii="方正仿宋_GBK" w:hAnsi="方正仿宋_GBK" w:eastAsia="方正仿宋_GBK" w:cs="方正仿宋_GBK"/>
                <w:b/>
                <w:sz w:val="24"/>
                <w:szCs w:val="24"/>
                <w:vertAlign w:val="baseline"/>
                <w:lang w:val="en-US" w:eastAsia="zh-CN"/>
              </w:rPr>
              <w:t>2</w:t>
            </w:r>
          </w:p>
        </w:tc>
        <w:tc>
          <w:tcPr>
            <w:tcW w:w="795" w:type="dxa"/>
            <w:vMerge w:val="restart"/>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宿管考核（</w:t>
            </w:r>
            <w:r>
              <w:rPr>
                <w:rFonts w:hint="eastAsia" w:ascii="方正仿宋_GBK" w:hAnsi="方正仿宋_GBK" w:eastAsia="方正仿宋_GBK" w:cs="方正仿宋_GBK"/>
                <w:b/>
                <w:sz w:val="24"/>
                <w:szCs w:val="24"/>
                <w:vertAlign w:val="baseline"/>
                <w:lang w:val="en-US" w:eastAsia="zh-CN"/>
              </w:rPr>
              <w:t>35分</w:t>
            </w:r>
            <w:r>
              <w:rPr>
                <w:rFonts w:hint="eastAsia" w:ascii="方正仿宋_GBK" w:hAnsi="方正仿宋_GBK" w:eastAsia="方正仿宋_GBK" w:cs="方正仿宋_GBK"/>
                <w:b/>
                <w:sz w:val="24"/>
                <w:szCs w:val="24"/>
                <w:vertAlign w:val="baseline"/>
                <w:lang w:eastAsia="zh-CN"/>
              </w:rPr>
              <w:t>）</w:t>
            </w: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（一）安全保卫</w:t>
            </w:r>
          </w:p>
        </w:tc>
        <w:tc>
          <w:tcPr>
            <w:tcW w:w="4950" w:type="dxa"/>
            <w:vAlign w:val="top"/>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1.</w:t>
            </w:r>
            <w:r>
              <w:rPr>
                <w:rFonts w:hint="eastAsia" w:ascii="方正仿宋_GB2312" w:hAnsi="方正仿宋_GB2312" w:eastAsia="方正仿宋_GB2312" w:cs="方正仿宋_GB2312"/>
                <w:b w:val="0"/>
                <w:bCs/>
                <w:sz w:val="22"/>
                <w:szCs w:val="22"/>
                <w:vertAlign w:val="baseline"/>
              </w:rPr>
              <w:t>严格执行作息制度按时上下班，无故迟到或早退扣2分。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default" w:ascii="方正仿宋_GB2312" w:hAnsi="方正仿宋_GB2312" w:eastAsia="方正仿宋_GB2312" w:cs="方正仿宋_GB2312"/>
                <w:b w:val="0"/>
                <w:bCs/>
                <w:sz w:val="22"/>
                <w:szCs w:val="22"/>
                <w:vertAlign w:val="baseline"/>
                <w:lang w:val="en-US" w:eastAsia="zh-CN"/>
              </w:rPr>
              <w:t>2.</w:t>
            </w:r>
            <w:r>
              <w:rPr>
                <w:rFonts w:hint="eastAsia" w:ascii="方正仿宋_GB2312" w:hAnsi="方正仿宋_GB2312" w:eastAsia="方正仿宋_GB2312" w:cs="方正仿宋_GB2312"/>
                <w:b w:val="0"/>
                <w:bCs/>
                <w:sz w:val="22"/>
                <w:szCs w:val="22"/>
                <w:vertAlign w:val="baseline"/>
                <w:lang w:val="en-US" w:eastAsia="zh-CN"/>
              </w:rPr>
              <w:t>宿舍水、电、门窗、玻璃、床铺、空调等报修要及时，且要跟踪查看是否维修，对只报修不落实，每次扣1分，造成一定影响的每次扣5分，最多扣10分，并追究相关人责任。</w:t>
            </w:r>
            <w:r>
              <w:rPr>
                <w:rFonts w:hint="eastAsia" w:ascii="方正仿宋_GB2312" w:hAnsi="方正仿宋_GB2312" w:eastAsia="方正仿宋_GB2312" w:cs="方正仿宋_GB2312"/>
                <w:b w:val="0"/>
                <w:bCs/>
                <w:sz w:val="22"/>
                <w:szCs w:val="22"/>
                <w:vertAlign w:val="baseline"/>
                <w:lang w:val="en-US" w:eastAsia="zh-CN"/>
              </w:rPr>
              <w:br w:type="textWrapping"/>
            </w:r>
            <w:r>
              <w:rPr>
                <w:rFonts w:hint="default" w:ascii="方正仿宋_GB2312" w:hAnsi="方正仿宋_GB2312" w:eastAsia="方正仿宋_GB2312" w:cs="方正仿宋_GB2312"/>
                <w:b w:val="0"/>
                <w:bCs/>
                <w:sz w:val="22"/>
                <w:szCs w:val="22"/>
                <w:vertAlign w:val="baseline"/>
                <w:lang w:val="en-US" w:eastAsia="zh-CN"/>
              </w:rPr>
              <w:t>3.</w:t>
            </w:r>
            <w:r>
              <w:rPr>
                <w:rFonts w:hint="eastAsia" w:ascii="方正仿宋_GB2312" w:hAnsi="方正仿宋_GB2312" w:eastAsia="方正仿宋_GB2312" w:cs="方正仿宋_GB2312"/>
                <w:b w:val="0"/>
                <w:bCs/>
                <w:sz w:val="22"/>
                <w:szCs w:val="22"/>
                <w:vertAlign w:val="baseline"/>
                <w:lang w:val="en-US" w:eastAsia="zh-CN"/>
              </w:rPr>
              <w:t>.宿舍有失盗的根据轻重每次扣1-5分，最多扣10分。</w:t>
            </w:r>
            <w:r>
              <w:rPr>
                <w:rFonts w:hint="eastAsia" w:ascii="方正仿宋_GB2312" w:hAnsi="方正仿宋_GB2312" w:eastAsia="方正仿宋_GB2312" w:cs="方正仿宋_GB2312"/>
                <w:b w:val="0"/>
                <w:bCs/>
                <w:sz w:val="22"/>
                <w:szCs w:val="22"/>
                <w:vertAlign w:val="baseline"/>
                <w:lang w:val="en-US" w:eastAsia="zh-CN"/>
              </w:rPr>
              <w:br w:type="textWrapping"/>
            </w:r>
            <w:r>
              <w:rPr>
                <w:rFonts w:hint="default" w:ascii="方正仿宋_GB2312" w:hAnsi="方正仿宋_GB2312" w:eastAsia="方正仿宋_GB2312" w:cs="方正仿宋_GB2312"/>
                <w:b w:val="0"/>
                <w:bCs/>
                <w:sz w:val="22"/>
                <w:szCs w:val="22"/>
                <w:vertAlign w:val="baseline"/>
                <w:lang w:val="en-US" w:eastAsia="zh-CN"/>
              </w:rPr>
              <w:t>4</w:t>
            </w:r>
            <w:r>
              <w:rPr>
                <w:rFonts w:hint="eastAsia" w:ascii="方正仿宋_GB2312" w:hAnsi="方正仿宋_GB2312" w:eastAsia="方正仿宋_GB2312" w:cs="方正仿宋_GB2312"/>
                <w:b w:val="0"/>
                <w:bCs/>
                <w:sz w:val="22"/>
                <w:szCs w:val="22"/>
                <w:vertAlign w:val="baseline"/>
                <w:lang w:val="en-US" w:eastAsia="zh-CN"/>
              </w:rPr>
              <w:t>.没按规定时间锁好宿舍大门每次扣1分，没按时锁大门夜间有学生外出的每次扣5分，最多扣10分。</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restart"/>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（二）环境卫生</w:t>
            </w:r>
          </w:p>
        </w:tc>
        <w:tc>
          <w:tcPr>
            <w:tcW w:w="4950" w:type="dxa"/>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1.地面有垃圾杂物不干净，卫生死角有垃圾污渍，地面有落叶不及时清扫，绿化带看到明显垃圾，废绿种菜，每次扣1分，最多扣5分。</w:t>
            </w:r>
            <w:r>
              <w:rPr>
                <w:rFonts w:hint="eastAsia" w:ascii="方正仿宋_GB2312" w:hAnsi="方正仿宋_GB2312" w:eastAsia="方正仿宋_GB2312" w:cs="方正仿宋_GB2312"/>
                <w:b w:val="0"/>
                <w:bCs/>
                <w:sz w:val="22"/>
                <w:szCs w:val="22"/>
                <w:vertAlign w:val="baseline"/>
                <w:lang w:val="en-US" w:eastAsia="zh-CN"/>
              </w:rPr>
              <w:br w:type="textWrapping"/>
            </w:r>
            <w:r>
              <w:rPr>
                <w:rFonts w:hint="eastAsia" w:ascii="方正仿宋_GB2312" w:hAnsi="方正仿宋_GB2312" w:eastAsia="方正仿宋_GB2312" w:cs="方正仿宋_GB2312"/>
                <w:b w:val="0"/>
                <w:bCs/>
                <w:sz w:val="22"/>
                <w:szCs w:val="22"/>
                <w:vertAlign w:val="baseline"/>
                <w:lang w:val="en-US" w:eastAsia="zh-CN"/>
              </w:rPr>
              <w:t>2.楼梯及扶手、楼层走道每天保持干净无垃圾灰尘，墙壁、贴画、屋顶无污渍、蜘蛛网，检查不达标准每次扣1分，没打扫每次扣3分，最多扣5分。</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（三）卫生检查</w:t>
            </w:r>
          </w:p>
        </w:tc>
        <w:tc>
          <w:tcPr>
            <w:tcW w:w="4950" w:type="dxa"/>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1.检查宿舍内务及卫生，要做到公平、公正原则，如因工作马虎造成学生投诉的每次扣1分，最多扣5分。</w:t>
            </w:r>
            <w:r>
              <w:rPr>
                <w:rFonts w:hint="eastAsia" w:ascii="方正仿宋_GB2312" w:hAnsi="方正仿宋_GB2312" w:eastAsia="方正仿宋_GB2312" w:cs="方正仿宋_GB2312"/>
                <w:b w:val="0"/>
                <w:bCs/>
                <w:sz w:val="22"/>
                <w:szCs w:val="22"/>
                <w:vertAlign w:val="baseline"/>
                <w:lang w:val="en-US" w:eastAsia="zh-CN"/>
              </w:rPr>
              <w:br w:type="textWrapping"/>
            </w:r>
            <w:r>
              <w:rPr>
                <w:rFonts w:hint="eastAsia" w:ascii="方正仿宋_GB2312" w:hAnsi="方正仿宋_GB2312" w:eastAsia="方正仿宋_GB2312" w:cs="方正仿宋_GB2312"/>
                <w:b w:val="0"/>
                <w:bCs/>
                <w:sz w:val="22"/>
                <w:szCs w:val="22"/>
                <w:vertAlign w:val="baseline"/>
                <w:lang w:val="en-US" w:eastAsia="zh-CN"/>
              </w:rPr>
              <w:t>2.检查结果反馈不及时的每次扣1分，最多扣5分。</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（四）就寝纪律</w:t>
            </w:r>
            <w:r>
              <w:rPr>
                <w:rFonts w:hint="eastAsia" w:ascii="方正仿宋_GB2312" w:hAnsi="方正仿宋_GB2312" w:eastAsia="方正仿宋_GB2312" w:cs="方正仿宋_GB2312"/>
                <w:b/>
                <w:bCs w:val="0"/>
                <w:sz w:val="22"/>
                <w:szCs w:val="22"/>
                <w:vertAlign w:val="baseline"/>
                <w:lang w:val="en-US" w:eastAsia="zh-CN"/>
              </w:rPr>
              <w:br w:type="textWrapping"/>
            </w:r>
          </w:p>
        </w:tc>
        <w:tc>
          <w:tcPr>
            <w:tcW w:w="4950" w:type="dxa"/>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1.就寝时间段，管理员一定要在各楼栋内巡查以确保发现问题及时处理，若检查时人不在岗的每次扣1分，晚就寝有讲话、亮灯宿舍要及时反馈，对有讲话、亮灯的宿舍不及时制止影响学生休息的每次扣5分，最多扣10分。</w:t>
            </w:r>
            <w:r>
              <w:rPr>
                <w:rFonts w:hint="eastAsia" w:ascii="方正仿宋_GB2312" w:hAnsi="方正仿宋_GB2312" w:eastAsia="方正仿宋_GB2312" w:cs="方正仿宋_GB2312"/>
                <w:b w:val="0"/>
                <w:bCs/>
                <w:sz w:val="22"/>
                <w:szCs w:val="22"/>
                <w:vertAlign w:val="baseline"/>
                <w:lang w:val="en-US" w:eastAsia="zh-CN"/>
              </w:rPr>
              <w:br w:type="textWrapping"/>
            </w:r>
            <w:r>
              <w:rPr>
                <w:rFonts w:hint="eastAsia" w:ascii="方正仿宋_GB2312" w:hAnsi="方正仿宋_GB2312" w:eastAsia="方正仿宋_GB2312" w:cs="方正仿宋_GB2312"/>
                <w:b w:val="0"/>
                <w:bCs/>
                <w:sz w:val="22"/>
                <w:szCs w:val="22"/>
                <w:vertAlign w:val="baseline"/>
                <w:lang w:val="en-US" w:eastAsia="zh-CN"/>
              </w:rPr>
              <w:t>2.有不归学生要及时联系班主任核实，如学生失联对工作不负责任造成严重后果的每次扣5分，最多扣10分，并追究相关人责任。</w:t>
            </w:r>
            <w:r>
              <w:rPr>
                <w:rFonts w:hint="eastAsia" w:ascii="方正仿宋_GB2312" w:hAnsi="方正仿宋_GB2312" w:eastAsia="方正仿宋_GB2312" w:cs="方正仿宋_GB2312"/>
                <w:b w:val="0"/>
                <w:bCs/>
                <w:sz w:val="22"/>
                <w:szCs w:val="22"/>
                <w:vertAlign w:val="baseline"/>
                <w:lang w:val="en-US" w:eastAsia="zh-CN"/>
              </w:rPr>
              <w:br w:type="textWrapping"/>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pPr>
              <w:pStyle w:val="178"/>
              <w:spacing w:line="500" w:lineRule="exact"/>
              <w:jc w:val="center"/>
              <w:rPr>
                <w:rFonts w:hint="eastAsia" w:ascii="方正仿宋_GBK" w:hAnsi="方正仿宋_GBK" w:eastAsia="方正仿宋_GBK" w:cs="方正仿宋_GBK"/>
                <w:b/>
                <w:sz w:val="24"/>
                <w:szCs w:val="24"/>
                <w:vertAlign w:val="baseline"/>
                <w:lang w:val="en-US" w:eastAsia="zh-CN"/>
              </w:rPr>
            </w:pPr>
            <w:r>
              <w:rPr>
                <w:rFonts w:hint="eastAsia" w:ascii="方正仿宋_GBK" w:hAnsi="方正仿宋_GBK" w:eastAsia="方正仿宋_GBK" w:cs="方正仿宋_GBK"/>
                <w:b/>
                <w:sz w:val="24"/>
                <w:szCs w:val="24"/>
                <w:vertAlign w:val="baseline"/>
                <w:lang w:val="en-US" w:eastAsia="zh-CN"/>
              </w:rPr>
              <w:t>3</w:t>
            </w:r>
          </w:p>
        </w:tc>
        <w:tc>
          <w:tcPr>
            <w:tcW w:w="795" w:type="dxa"/>
            <w:vMerge w:val="restart"/>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水电工考核（</w:t>
            </w:r>
            <w:r>
              <w:rPr>
                <w:rFonts w:hint="eastAsia" w:ascii="方正仿宋_GBK" w:hAnsi="方正仿宋_GBK" w:eastAsia="方正仿宋_GBK" w:cs="方正仿宋_GBK"/>
                <w:b/>
                <w:sz w:val="24"/>
                <w:szCs w:val="24"/>
                <w:vertAlign w:val="baseline"/>
                <w:lang w:val="en-US" w:eastAsia="zh-CN"/>
              </w:rPr>
              <w:t>25分</w:t>
            </w:r>
            <w:r>
              <w:rPr>
                <w:rFonts w:hint="eastAsia" w:ascii="方正仿宋_GBK" w:hAnsi="方正仿宋_GBK" w:eastAsia="方正仿宋_GBK" w:cs="方正仿宋_GBK"/>
                <w:b/>
                <w:sz w:val="24"/>
                <w:szCs w:val="24"/>
                <w:vertAlign w:val="baseline"/>
                <w:lang w:eastAsia="zh-CN"/>
              </w:rPr>
              <w:t>）</w:t>
            </w: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（一）维修维护效率</w:t>
            </w:r>
          </w:p>
        </w:tc>
        <w:tc>
          <w:tcPr>
            <w:tcW w:w="4950" w:type="dxa"/>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 xml:space="preserve">1.接到报修后，普通维修30分钟内到场（紧急情况10分钟），每延迟1次扣1分。  </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 xml:space="preserve">2.当月维修任务完成率≥95%，每降低1%扣1分。  </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3.同一问题7天内重复报修次数≤1次，每超1次扣1分</w:t>
            </w:r>
            <w:r>
              <w:rPr>
                <w:rFonts w:hint="default" w:ascii="方正仿宋_GB2312" w:hAnsi="方正仿宋_GB2312" w:eastAsia="方正仿宋_GB2312" w:cs="方正仿宋_GB2312"/>
                <w:b w:val="0"/>
                <w:bCs/>
                <w:sz w:val="22"/>
                <w:szCs w:val="22"/>
                <w:vertAlign w:val="baseline"/>
                <w:lang w:val="en-US" w:eastAsia="zh-CN"/>
              </w:rPr>
              <w:t>(</w:t>
            </w:r>
            <w:r>
              <w:rPr>
                <w:rFonts w:hint="eastAsia" w:ascii="方正仿宋_GB2312" w:hAnsi="方正仿宋_GB2312" w:eastAsia="方正仿宋_GB2312" w:cs="方正仿宋_GB2312"/>
                <w:b w:val="0"/>
                <w:bCs/>
                <w:sz w:val="22"/>
                <w:szCs w:val="22"/>
                <w:vertAlign w:val="baseline"/>
                <w:lang w:val="en-US" w:eastAsia="zh-CN"/>
              </w:rPr>
              <w:t xml:space="preserve">人为故意损坏除外）。 </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restart"/>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（二）安全管理</w:t>
            </w:r>
          </w:p>
        </w:tc>
        <w:tc>
          <w:tcPr>
            <w:tcW w:w="4950" w:type="dxa"/>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 xml:space="preserve">1.无违规带电/带水作业、防护设备佩戴齐全，违规1次扣2分。  </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 xml:space="preserve">2.每周对水电进行安全巡查至少一次，做好记录；若没有安全巡查或巡查了没有按时记录的，每周扣除2分。  </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（三）节能降耗</w:t>
            </w:r>
          </w:p>
        </w:tc>
        <w:tc>
          <w:tcPr>
            <w:tcW w:w="4950" w:type="dxa"/>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 xml:space="preserve">发现管道漏水、设备空耗未及时处理，每例扣2分。 </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（四）其他事项</w:t>
            </w:r>
          </w:p>
        </w:tc>
        <w:tc>
          <w:tcPr>
            <w:tcW w:w="4950" w:type="dxa"/>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1.</w:t>
            </w:r>
            <w:r>
              <w:rPr>
                <w:rFonts w:hint="eastAsia" w:ascii="方正仿宋_GB2312" w:hAnsi="方正仿宋_GB2312" w:eastAsia="方正仿宋_GB2312" w:cs="方正仿宋_GB2312"/>
                <w:b w:val="0"/>
                <w:bCs/>
                <w:sz w:val="22"/>
                <w:szCs w:val="22"/>
                <w:vertAlign w:val="baseline"/>
              </w:rPr>
              <w:t>严格执行作息制度按时上下班，无故迟到或早退扣2分。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 xml:space="preserve">2.定期检查配电箱、水泵房等设施，缺检1次扣1分。  </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3.突发停水停电时，30分钟内启动应急处理，延迟扣2分。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pPr>
              <w:pStyle w:val="178"/>
              <w:spacing w:line="500" w:lineRule="exact"/>
              <w:jc w:val="center"/>
              <w:rPr>
                <w:rFonts w:hint="default" w:ascii="方正仿宋_GBK" w:hAnsi="方正仿宋_GBK" w:eastAsia="方正仿宋_GBK" w:cs="方正仿宋_GBK"/>
                <w:b/>
                <w:sz w:val="24"/>
                <w:szCs w:val="24"/>
                <w:vertAlign w:val="baseline"/>
                <w:lang w:val="en-US" w:eastAsia="zh-CN"/>
              </w:rPr>
            </w:pPr>
            <w:r>
              <w:rPr>
                <w:rFonts w:hint="eastAsia" w:ascii="方正仿宋_GBK" w:hAnsi="方正仿宋_GBK" w:eastAsia="方正仿宋_GBK" w:cs="方正仿宋_GBK"/>
                <w:b/>
                <w:sz w:val="24"/>
                <w:szCs w:val="24"/>
                <w:vertAlign w:val="baseline"/>
                <w:lang w:val="en-US" w:eastAsia="zh-CN"/>
              </w:rPr>
              <w:t>4</w:t>
            </w:r>
          </w:p>
        </w:tc>
        <w:tc>
          <w:tcPr>
            <w:tcW w:w="795" w:type="dxa"/>
            <w:vMerge w:val="restart"/>
            <w:vAlign w:val="center"/>
          </w:tcPr>
          <w:p>
            <w:pPr>
              <w:pStyle w:val="178"/>
              <w:spacing w:line="500" w:lineRule="exact"/>
              <w:jc w:val="center"/>
              <w:rPr>
                <w:rFonts w:hint="eastAsia" w:ascii="方正仿宋_GBK" w:hAnsi="方正仿宋_GBK" w:eastAsia="方正仿宋_GBK" w:cs="方正仿宋_GBK"/>
                <w:b/>
                <w:sz w:val="24"/>
                <w:szCs w:val="24"/>
                <w:vertAlign w:val="baseline"/>
                <w:lang w:val="en-US" w:eastAsia="zh-CN"/>
              </w:rPr>
            </w:pPr>
            <w:r>
              <w:rPr>
                <w:rFonts w:hint="eastAsia" w:ascii="方正仿宋_GBK" w:hAnsi="方正仿宋_GBK" w:eastAsia="方正仿宋_GBK" w:cs="方正仿宋_GBK"/>
                <w:b/>
                <w:sz w:val="24"/>
                <w:szCs w:val="24"/>
                <w:vertAlign w:val="baseline"/>
                <w:lang w:val="en-US" w:eastAsia="zh-CN"/>
              </w:rPr>
              <w:t>其他</w:t>
            </w: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1</w:t>
            </w:r>
          </w:p>
        </w:tc>
        <w:tc>
          <w:tcPr>
            <w:tcW w:w="5970" w:type="dxa"/>
            <w:gridSpan w:val="2"/>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因后勤管理不当，造成校内突发情况，每例处罚1000元，并由供应商无偿负责相应突发事件造成的经济损失。</w:t>
            </w:r>
          </w:p>
        </w:tc>
        <w:tc>
          <w:tcPr>
            <w:tcW w:w="975" w:type="dxa"/>
            <w:vMerge w:val="restart"/>
            <w:vAlign w:val="center"/>
          </w:tcPr>
          <w:p>
            <w:pPr>
              <w:pStyle w:val="153"/>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kern w:val="2"/>
                <w:sz w:val="22"/>
                <w:szCs w:val="22"/>
                <w:vertAlign w:val="baseline"/>
                <w:lang w:val="en-US" w:eastAsia="zh-CN" w:bidi="ar-SA"/>
              </w:rPr>
            </w:pPr>
            <w:r>
              <w:rPr>
                <w:rFonts w:hint="eastAsia" w:ascii="方正仿宋_GB2312" w:hAnsi="方正仿宋_GB2312" w:eastAsia="方正仿宋_GB2312" w:cs="方正仿宋_GB2312"/>
                <w:b w:val="0"/>
                <w:bCs/>
                <w:kern w:val="2"/>
                <w:sz w:val="22"/>
                <w:szCs w:val="22"/>
                <w:vertAlign w:val="baseline"/>
                <w:lang w:val="en-US" w:eastAsia="zh-CN" w:bidi="ar-SA"/>
              </w:rPr>
              <w:t>本项</w:t>
            </w:r>
          </w:p>
          <w:p>
            <w:pPr>
              <w:pStyle w:val="153"/>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kern w:val="2"/>
                <w:sz w:val="22"/>
                <w:szCs w:val="22"/>
                <w:vertAlign w:val="baseline"/>
                <w:lang w:val="en-US" w:eastAsia="zh-CN" w:bidi="ar-SA"/>
              </w:rPr>
            </w:pPr>
            <w:r>
              <w:rPr>
                <w:rFonts w:hint="eastAsia" w:ascii="方正仿宋_GB2312" w:hAnsi="方正仿宋_GB2312" w:eastAsia="方正仿宋_GB2312" w:cs="方正仿宋_GB2312"/>
                <w:b w:val="0"/>
                <w:bCs/>
                <w:kern w:val="2"/>
                <w:sz w:val="22"/>
                <w:szCs w:val="22"/>
                <w:vertAlign w:val="baseline"/>
                <w:lang w:val="en-US" w:eastAsia="zh-CN" w:bidi="ar-SA"/>
              </w:rPr>
              <w:t>在每</w:t>
            </w:r>
          </w:p>
          <w:p>
            <w:pPr>
              <w:pStyle w:val="153"/>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kern w:val="2"/>
                <w:sz w:val="22"/>
                <w:szCs w:val="22"/>
                <w:vertAlign w:val="baseline"/>
                <w:lang w:val="en-US" w:eastAsia="zh-CN" w:bidi="ar-SA"/>
              </w:rPr>
            </w:pPr>
            <w:r>
              <w:rPr>
                <w:rFonts w:hint="eastAsia" w:ascii="方正仿宋_GB2312" w:hAnsi="方正仿宋_GB2312" w:eastAsia="方正仿宋_GB2312" w:cs="方正仿宋_GB2312"/>
                <w:b w:val="0"/>
                <w:bCs/>
                <w:kern w:val="2"/>
                <w:sz w:val="22"/>
                <w:szCs w:val="22"/>
                <w:vertAlign w:val="baseline"/>
                <w:lang w:val="en-US" w:eastAsia="zh-CN" w:bidi="ar-SA"/>
              </w:rPr>
              <w:t>月考</w:t>
            </w:r>
          </w:p>
          <w:p>
            <w:pPr>
              <w:pStyle w:val="153"/>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kern w:val="2"/>
                <w:sz w:val="22"/>
                <w:szCs w:val="22"/>
                <w:vertAlign w:val="baseline"/>
                <w:lang w:val="en-US" w:eastAsia="zh-CN" w:bidi="ar-SA"/>
              </w:rPr>
            </w:pPr>
            <w:r>
              <w:rPr>
                <w:rFonts w:hint="eastAsia" w:ascii="方正仿宋_GB2312" w:hAnsi="方正仿宋_GB2312" w:eastAsia="方正仿宋_GB2312" w:cs="方正仿宋_GB2312"/>
                <w:b w:val="0"/>
                <w:bCs/>
                <w:kern w:val="2"/>
                <w:sz w:val="22"/>
                <w:szCs w:val="22"/>
                <w:vertAlign w:val="baseline"/>
                <w:lang w:val="en-US" w:eastAsia="zh-CN" w:bidi="ar-SA"/>
              </w:rPr>
              <w:t>核的</w:t>
            </w:r>
          </w:p>
          <w:p>
            <w:pPr>
              <w:pStyle w:val="153"/>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kern w:val="2"/>
                <w:sz w:val="22"/>
                <w:szCs w:val="22"/>
                <w:vertAlign w:val="baseline"/>
                <w:lang w:val="en-US" w:eastAsia="zh-CN" w:bidi="ar-SA"/>
              </w:rPr>
            </w:pPr>
            <w:r>
              <w:rPr>
                <w:rFonts w:hint="eastAsia" w:ascii="方正仿宋_GB2312" w:hAnsi="方正仿宋_GB2312" w:eastAsia="方正仿宋_GB2312" w:cs="方正仿宋_GB2312"/>
                <w:b w:val="0"/>
                <w:bCs/>
                <w:kern w:val="2"/>
                <w:sz w:val="22"/>
                <w:szCs w:val="22"/>
                <w:vertAlign w:val="baseline"/>
                <w:lang w:val="en-US" w:eastAsia="zh-CN" w:bidi="ar-SA"/>
              </w:rPr>
              <w:t>基础</w:t>
            </w:r>
          </w:p>
          <w:p>
            <w:pPr>
              <w:pStyle w:val="153"/>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kern w:val="2"/>
                <w:sz w:val="22"/>
                <w:szCs w:val="22"/>
                <w:vertAlign w:val="baseline"/>
                <w:lang w:val="en-US" w:eastAsia="zh-CN" w:bidi="ar-SA"/>
              </w:rPr>
            </w:pPr>
            <w:r>
              <w:rPr>
                <w:rFonts w:hint="eastAsia" w:ascii="方正仿宋_GB2312" w:hAnsi="方正仿宋_GB2312" w:eastAsia="方正仿宋_GB2312" w:cs="方正仿宋_GB2312"/>
                <w:b w:val="0"/>
                <w:bCs/>
                <w:kern w:val="2"/>
                <w:sz w:val="22"/>
                <w:szCs w:val="22"/>
                <w:vertAlign w:val="baseline"/>
                <w:lang w:val="en-US" w:eastAsia="zh-CN" w:bidi="ar-SA"/>
              </w:rPr>
              <w:t>上直</w:t>
            </w:r>
          </w:p>
          <w:p>
            <w:pPr>
              <w:pStyle w:val="153"/>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kern w:val="2"/>
                <w:sz w:val="22"/>
                <w:szCs w:val="22"/>
                <w:vertAlign w:val="baseline"/>
                <w:lang w:val="en-US" w:eastAsia="zh-CN" w:bidi="ar-SA"/>
              </w:rPr>
            </w:pPr>
            <w:r>
              <w:rPr>
                <w:rFonts w:hint="eastAsia" w:ascii="方正仿宋_GB2312" w:hAnsi="方正仿宋_GB2312" w:eastAsia="方正仿宋_GB2312" w:cs="方正仿宋_GB2312"/>
                <w:b w:val="0"/>
                <w:bCs/>
                <w:kern w:val="2"/>
                <w:sz w:val="22"/>
                <w:szCs w:val="22"/>
                <w:vertAlign w:val="baseline"/>
                <w:lang w:val="en-US" w:eastAsia="zh-CN" w:bidi="ar-SA"/>
              </w:rPr>
              <w:t>接处</w:t>
            </w:r>
          </w:p>
          <w:p>
            <w:pPr>
              <w:pStyle w:val="153"/>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kern w:val="2"/>
                <w:sz w:val="22"/>
                <w:szCs w:val="22"/>
                <w:vertAlign w:val="baseline"/>
                <w:lang w:val="en-US" w:eastAsia="zh-CN" w:bidi="ar-SA"/>
              </w:rPr>
            </w:pPr>
            <w:r>
              <w:rPr>
                <w:rFonts w:hint="eastAsia" w:ascii="方正仿宋_GB2312" w:hAnsi="方正仿宋_GB2312" w:eastAsia="方正仿宋_GB2312" w:cs="方正仿宋_GB2312"/>
                <w:b w:val="0"/>
                <w:bCs/>
                <w:kern w:val="2"/>
                <w:sz w:val="22"/>
                <w:szCs w:val="22"/>
                <w:vertAlign w:val="baseline"/>
                <w:lang w:val="en-US" w:eastAsia="zh-CN" w:bidi="ar-SA"/>
              </w:rPr>
              <w:t>以罚</w:t>
            </w:r>
          </w:p>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kern w:val="2"/>
                <w:sz w:val="22"/>
                <w:szCs w:val="22"/>
                <w:vertAlign w:val="baseline"/>
                <w:lang w:val="en-US" w:eastAsia="zh-CN" w:bidi="ar-SA"/>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795"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2</w:t>
            </w:r>
          </w:p>
        </w:tc>
        <w:tc>
          <w:tcPr>
            <w:tcW w:w="5970" w:type="dxa"/>
            <w:gridSpan w:val="2"/>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供应商未及时按月足额发放人员工资，拖欠人员工资超过15天，按双倍扣除供应商所欠员工资额。</w:t>
            </w:r>
          </w:p>
        </w:tc>
        <w:tc>
          <w:tcPr>
            <w:tcW w:w="975" w:type="dxa"/>
            <w:vMerge w:val="continue"/>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795"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3</w:t>
            </w:r>
          </w:p>
        </w:tc>
        <w:tc>
          <w:tcPr>
            <w:tcW w:w="5970" w:type="dxa"/>
            <w:gridSpan w:val="2"/>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遇上级领导批评或被外来检查、媒体曝光或通报批评校内相关后勤工作的，视情节轻重，每一例处罚500-5000元。</w:t>
            </w:r>
          </w:p>
        </w:tc>
        <w:tc>
          <w:tcPr>
            <w:tcW w:w="975" w:type="dxa"/>
            <w:vMerge w:val="continue"/>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795"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4</w:t>
            </w:r>
          </w:p>
        </w:tc>
        <w:tc>
          <w:tcPr>
            <w:tcW w:w="5970" w:type="dxa"/>
            <w:gridSpan w:val="2"/>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遇12345等热线投诉或网络问政，经查明由于后勤工作管理不当、失职等造成的，每一例处罚1000元。</w:t>
            </w:r>
          </w:p>
        </w:tc>
        <w:tc>
          <w:tcPr>
            <w:tcW w:w="975" w:type="dxa"/>
            <w:vMerge w:val="continue"/>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795"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5</w:t>
            </w:r>
          </w:p>
        </w:tc>
        <w:tc>
          <w:tcPr>
            <w:tcW w:w="5970" w:type="dxa"/>
            <w:gridSpan w:val="2"/>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校内后勤工作所接触的相关设施设备坏损未上报，而被校内工作人员先行检查发现的，人为破坏的每一例处罚2000元并负责无偿维修；自然损耗的，每一例处罚200元。</w:t>
            </w:r>
          </w:p>
        </w:tc>
        <w:tc>
          <w:tcPr>
            <w:tcW w:w="975" w:type="dxa"/>
            <w:vMerge w:val="continue"/>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795"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6</w:t>
            </w:r>
          </w:p>
        </w:tc>
        <w:tc>
          <w:tcPr>
            <w:tcW w:w="5970" w:type="dxa"/>
            <w:gridSpan w:val="2"/>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未及时按要求完成校内任务交办单所交办的工作或通过电话、短信、微信等方式临时交办的工作的，每一例处罚500元。</w:t>
            </w:r>
          </w:p>
        </w:tc>
        <w:tc>
          <w:tcPr>
            <w:tcW w:w="975" w:type="dxa"/>
            <w:vMerge w:val="continue"/>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pStyle w:val="178"/>
              <w:spacing w:line="500" w:lineRule="exact"/>
              <w:jc w:val="center"/>
              <w:rPr>
                <w:rFonts w:hint="eastAsia" w:ascii="方正仿宋_GBK" w:hAnsi="方正仿宋_GBK" w:eastAsia="方正仿宋_GBK" w:cs="方正仿宋_GBK"/>
                <w:b/>
                <w:sz w:val="24"/>
                <w:szCs w:val="24"/>
                <w:vertAlign w:val="baseline"/>
                <w:lang w:val="en-US" w:eastAsia="zh-CN"/>
              </w:rPr>
            </w:pPr>
            <w:r>
              <w:rPr>
                <w:rFonts w:hint="eastAsia" w:ascii="方正仿宋_GBK" w:hAnsi="方正仿宋_GBK" w:eastAsia="方正仿宋_GBK" w:cs="方正仿宋_GBK"/>
                <w:b/>
                <w:sz w:val="24"/>
                <w:szCs w:val="24"/>
                <w:vertAlign w:val="baseline"/>
                <w:lang w:val="en-US" w:eastAsia="zh-CN"/>
              </w:rPr>
              <w:t>5</w:t>
            </w:r>
          </w:p>
        </w:tc>
        <w:tc>
          <w:tcPr>
            <w:tcW w:w="795" w:type="dxa"/>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备注</w:t>
            </w:r>
          </w:p>
        </w:tc>
        <w:tc>
          <w:tcPr>
            <w:tcW w:w="8205" w:type="dxa"/>
            <w:gridSpan w:val="4"/>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default" w:ascii="方正仿宋_GB2312" w:hAnsi="方正仿宋_GB2312" w:eastAsia="方正仿宋_GB2312" w:cs="方正仿宋_GB2312"/>
                <w:b w:val="0"/>
                <w:bCs/>
                <w:sz w:val="22"/>
                <w:szCs w:val="22"/>
                <w:vertAlign w:val="baseline"/>
                <w:lang w:val="en-US" w:eastAsia="zh-CN"/>
              </w:rPr>
              <w:t>1</w:t>
            </w:r>
            <w:r>
              <w:rPr>
                <w:rFonts w:hint="eastAsia" w:ascii="方正仿宋_GB2312" w:hAnsi="方正仿宋_GB2312" w:eastAsia="方正仿宋_GB2312" w:cs="方正仿宋_GB2312"/>
                <w:b w:val="0"/>
                <w:bCs/>
                <w:sz w:val="22"/>
                <w:szCs w:val="22"/>
                <w:vertAlign w:val="baseline"/>
                <w:lang w:val="en-US" w:eastAsia="zh-CN"/>
              </w:rPr>
              <w:t>、考核方对被考核方的管理实施日常考核，考核小组由各学校后勤处3名人员组成，对发现的问题以书面的形式向被考核方反馈并经被考核方签字后按考核内容及标准计入考核档案，每季度向教育办汇总一次。</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2、各学校作为中标单位的服务对象，应按照考核表每周对中标单位进行考核；教育办作为监督管理部门，不定期抽检考核，考核结果占季度考核成绩的30%，若教育办未进行抽查，则以学校考核为准；由教育办审核后根据考核结果付款。</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3、被考核方未签字确认时，经考核方3人以上考核组签字的考核表有效。</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b/>
                <w:sz w:val="24"/>
                <w:szCs w:val="24"/>
                <w:vertAlign w:val="baseline"/>
              </w:rPr>
            </w:pPr>
            <w:r>
              <w:rPr>
                <w:rFonts w:hint="eastAsia" w:ascii="方正仿宋_GB2312" w:hAnsi="方正仿宋_GB2312" w:eastAsia="方正仿宋_GB2312" w:cs="方正仿宋_GB2312"/>
                <w:b w:val="0"/>
                <w:bCs/>
                <w:sz w:val="22"/>
                <w:szCs w:val="22"/>
                <w:vertAlign w:val="baseline"/>
                <w:lang w:val="en-US" w:eastAsia="zh-CN"/>
              </w:rPr>
              <w:t>4、考核方对该工作考核打分表拥有最终解释权。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gridSpan w:val="2"/>
          </w:tcPr>
          <w:p>
            <w:pPr>
              <w:pStyle w:val="178"/>
              <w:spacing w:line="500" w:lineRule="exact"/>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评分合计</w:t>
            </w:r>
          </w:p>
        </w:tc>
        <w:tc>
          <w:tcPr>
            <w:tcW w:w="8205" w:type="dxa"/>
            <w:gridSpan w:val="4"/>
            <w:vAlign w:val="center"/>
          </w:tcPr>
          <w:p>
            <w:pPr>
              <w:pStyle w:val="178"/>
              <w:spacing w:line="500" w:lineRule="exact"/>
              <w:rPr>
                <w:rFonts w:hint="eastAsia" w:ascii="方正仿宋_GB2312" w:hAnsi="方正仿宋_GB2312" w:eastAsia="方正仿宋_GB2312" w:cs="方正仿宋_GB2312"/>
                <w:b w:val="0"/>
                <w:bCs/>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0" w:type="dxa"/>
            <w:gridSpan w:val="6"/>
          </w:tcPr>
          <w:p>
            <w:pPr>
              <w:pStyle w:val="178"/>
              <w:spacing w:line="500" w:lineRule="exact"/>
              <w:rPr>
                <w:rFonts w:hint="eastAsia" w:ascii="方正仿宋_GB2312" w:hAnsi="方正仿宋_GB2312" w:eastAsia="方正仿宋_GB2312" w:cs="方正仿宋_GB2312"/>
                <w:b w:val="0"/>
                <w:bCs/>
                <w:sz w:val="22"/>
                <w:szCs w:val="22"/>
                <w:vertAlign w:val="baseline"/>
                <w:lang w:val="en-US" w:eastAsia="zh-CN"/>
              </w:rPr>
            </w:pPr>
            <w:r>
              <w:rPr>
                <w:rFonts w:hint="eastAsia" w:ascii="仿宋" w:hAnsi="仿宋" w:eastAsia="仿宋" w:cs="仿宋"/>
                <w:i w:val="0"/>
                <w:iCs w:val="0"/>
                <w:color w:val="000000"/>
                <w:sz w:val="21"/>
                <w:szCs w:val="21"/>
                <w:highlight w:val="none"/>
                <w:u w:val="none"/>
                <w:lang w:val="en-US" w:eastAsia="zh-CN" w:bidi="ar"/>
              </w:rPr>
              <w:t xml:space="preserve">被考核单位负责人签字：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0" w:type="dxa"/>
            <w:gridSpan w:val="6"/>
          </w:tcPr>
          <w:p>
            <w:pPr>
              <w:pStyle w:val="178"/>
              <w:spacing w:line="500" w:lineRule="exact"/>
              <w:rPr>
                <w:rFonts w:hint="eastAsia" w:ascii="方正仿宋_GB2312" w:hAnsi="方正仿宋_GB2312" w:eastAsia="方正仿宋_GB2312" w:cs="方正仿宋_GB2312"/>
                <w:b w:val="0"/>
                <w:bCs/>
                <w:sz w:val="22"/>
                <w:szCs w:val="22"/>
                <w:vertAlign w:val="baseline"/>
                <w:lang w:val="en-US" w:eastAsia="zh-CN"/>
              </w:rPr>
            </w:pPr>
            <w:r>
              <w:rPr>
                <w:rFonts w:hint="eastAsia" w:ascii="仿宋" w:hAnsi="仿宋" w:eastAsia="仿宋" w:cs="仿宋"/>
                <w:i w:val="0"/>
                <w:iCs w:val="0"/>
                <w:color w:val="000000"/>
                <w:sz w:val="21"/>
                <w:szCs w:val="21"/>
                <w:highlight w:val="none"/>
                <w:u w:val="none"/>
                <w:lang w:val="en-US" w:eastAsia="zh-CN" w:bidi="ar"/>
              </w:rPr>
              <w:t xml:space="preserve">  检查人签字：</w:t>
            </w:r>
          </w:p>
        </w:tc>
      </w:tr>
    </w:tbl>
    <w:p>
      <w:pPr>
        <w:sectPr>
          <w:footerReference r:id="rId5" w:type="first"/>
          <w:headerReference r:id="rId3" w:type="default"/>
          <w:footerReference r:id="rId4" w:type="default"/>
          <w:pgSz w:w="11906" w:h="16838"/>
          <w:pgMar w:top="1418" w:right="1588" w:bottom="1418" w:left="1365" w:header="851" w:footer="907" w:gutter="0"/>
          <w:pgNumType w:start="1"/>
          <w:cols w:space="720" w:num="1"/>
          <w:titlePg/>
          <w:docGrid w:type="lines" w:linePitch="290" w:charSpace="0"/>
        </w:sectPr>
      </w:pPr>
    </w:p>
    <w:p>
      <w:pPr>
        <w:keepNext/>
        <w:keepLines/>
        <w:pageBreakBefore/>
        <w:ind w:firstLine="1767"/>
        <w:outlineLvl w:val="0"/>
        <w:rPr>
          <w:rFonts w:eastAsia="黑体"/>
          <w:bCs/>
          <w:sz w:val="44"/>
          <w:szCs w:val="28"/>
        </w:rPr>
      </w:pPr>
      <w:bookmarkStart w:id="142" w:name="_Toc7075"/>
      <w:bookmarkStart w:id="143" w:name="_Toc22118"/>
      <w:r>
        <w:rPr>
          <w:rFonts w:hint="eastAsia" w:eastAsia="黑体"/>
          <w:bCs/>
          <w:sz w:val="44"/>
          <w:szCs w:val="28"/>
        </w:rPr>
        <w:t>第五章 合同格式及条款</w:t>
      </w:r>
      <w:bookmarkEnd w:id="142"/>
      <w:bookmarkEnd w:id="143"/>
    </w:p>
    <w:p>
      <w:pPr>
        <w:rPr>
          <w:rFonts w:ascii="方正仿宋_GBK" w:hAnsi="方正仿宋_GBK" w:eastAsia="方正仿宋_GBK" w:cs="方正仿宋_GBK"/>
          <w:highlight w:val="red"/>
        </w:rPr>
      </w:pPr>
      <w:bookmarkStart w:id="144" w:name="EB92fb24a891e34ea29920d90c75406592"/>
      <w:bookmarkEnd w:id="144"/>
    </w:p>
    <w:p>
      <w:pPr>
        <w:pStyle w:val="103"/>
        <w:spacing w:line="259" w:lineRule="auto"/>
        <w:jc w:val="center"/>
        <w:rPr>
          <w:rFonts w:ascii="方正仿宋_GBK" w:hAnsi="方正仿宋_GBK" w:eastAsia="方正仿宋_GBK" w:cs="方正仿宋_GBK"/>
          <w:b/>
          <w:bCs/>
          <w:spacing w:val="5"/>
          <w:sz w:val="43"/>
          <w:szCs w:val="43"/>
        </w:rPr>
      </w:pPr>
      <w:r>
        <w:rPr>
          <w:rFonts w:hint="eastAsia" w:ascii="方正仿宋_GBK" w:hAnsi="方正仿宋_GBK" w:eastAsia="方正仿宋_GBK" w:cs="方正仿宋_GBK"/>
          <w:b/>
          <w:bCs/>
          <w:sz w:val="32"/>
          <w:szCs w:val="32"/>
        </w:rPr>
        <w:t>物业管理服务合同</w:t>
      </w:r>
    </w:p>
    <w:p>
      <w:pPr>
        <w:pStyle w:val="181"/>
        <w:widowControl/>
        <w:spacing w:line="560" w:lineRule="exact"/>
        <w:ind w:firstLine="480"/>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合同编号：</w:t>
      </w:r>
    </w:p>
    <w:p>
      <w:pPr>
        <w:pStyle w:val="181"/>
        <w:widowControl/>
        <w:spacing w:line="560" w:lineRule="exact"/>
        <w:ind w:firstLine="480"/>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甲方：</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（以下简称甲方）</w:t>
      </w:r>
    </w:p>
    <w:p>
      <w:pPr>
        <w:pStyle w:val="181"/>
        <w:widowControl/>
        <w:spacing w:line="560" w:lineRule="exact"/>
        <w:ind w:firstLine="480"/>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乙方：</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（以下简称乙方）</w:t>
      </w:r>
    </w:p>
    <w:p>
      <w:pPr>
        <w:pStyle w:val="181"/>
        <w:widowControl/>
        <w:spacing w:line="560" w:lineRule="exact"/>
        <w:ind w:firstLine="480"/>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依照《中华人民共和国民法典》及其他有关法律、行政法规，遵循平等、自愿、公平和诚实信用的原则，双方就</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号</w:t>
      </w:r>
      <w:r>
        <w:rPr>
          <w:rFonts w:hint="eastAsia" w:ascii="方正仿宋_GBK" w:hAnsi="方正仿宋_GBK" w:eastAsia="方正仿宋_GBK" w:cs="方正仿宋_GBK"/>
          <w:bCs/>
          <w:sz w:val="24"/>
          <w:szCs w:val="24"/>
          <w:u w:val="single"/>
        </w:rPr>
        <w:t>洋河新区公办中小学后勤服务外包采购项目</w:t>
      </w:r>
      <w:r>
        <w:rPr>
          <w:rFonts w:hint="eastAsia" w:ascii="方正仿宋_GBK" w:hAnsi="方正仿宋_GBK" w:eastAsia="方正仿宋_GBK" w:cs="方正仿宋_GBK"/>
          <w:bCs/>
          <w:sz w:val="24"/>
          <w:szCs w:val="24"/>
        </w:rPr>
        <w:t>相关事项协商一致，达成如下合同条款。</w:t>
      </w:r>
    </w:p>
    <w:p>
      <w:pPr>
        <w:pStyle w:val="181"/>
        <w:widowControl/>
        <w:spacing w:line="560" w:lineRule="exact"/>
        <w:ind w:firstLine="480"/>
        <w:jc w:val="left"/>
        <w:rPr>
          <w:rFonts w:ascii="方正仿宋_GBK" w:hAnsi="方正仿宋_GBK" w:eastAsia="方正仿宋_GBK" w:cs="方正仿宋_GBK"/>
          <w:bCs/>
          <w:sz w:val="24"/>
          <w:szCs w:val="24"/>
        </w:rPr>
      </w:pPr>
    </w:p>
    <w:p>
      <w:pPr>
        <w:spacing w:line="560" w:lineRule="exact"/>
        <w:ind w:firstLine="482"/>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合同内容：</w:t>
      </w:r>
    </w:p>
    <w:p>
      <w:pPr>
        <w:pStyle w:val="115"/>
        <w:spacing w:line="560" w:lineRule="exact"/>
        <w:ind w:firstLine="480" w:firstLineChars="200"/>
        <w:rPr>
          <w:rFonts w:ascii="方正仿宋_GBK" w:hAnsi="方正仿宋_GBK" w:eastAsia="方正仿宋_GBK" w:cs="方正仿宋_GBK"/>
          <w:bCs/>
          <w:color w:val="auto"/>
          <w:szCs w:val="24"/>
        </w:rPr>
      </w:pPr>
    </w:p>
    <w:p>
      <w:pPr>
        <w:pStyle w:val="115"/>
        <w:spacing w:line="560" w:lineRule="exact"/>
        <w:ind w:firstLine="480" w:firstLineChars="200"/>
        <w:rPr>
          <w:rFonts w:ascii="方正仿宋_GBK" w:hAnsi="方正仿宋_GBK" w:eastAsia="方正仿宋_GBK" w:cs="方正仿宋_GBK"/>
          <w:color w:val="auto"/>
          <w:szCs w:val="24"/>
        </w:rPr>
      </w:pPr>
      <w:r>
        <w:rPr>
          <w:rFonts w:hint="eastAsia" w:ascii="方正仿宋_GBK" w:hAnsi="方正仿宋_GBK" w:eastAsia="方正仿宋_GBK" w:cs="方正仿宋_GBK"/>
          <w:bCs/>
          <w:color w:val="auto"/>
          <w:szCs w:val="24"/>
        </w:rPr>
        <w:t>一、乙方向甲方提供总价值为</w:t>
      </w:r>
      <w:r>
        <w:rPr>
          <w:rFonts w:hint="eastAsia" w:ascii="方正仿宋_GBK" w:hAnsi="方正仿宋_GBK" w:eastAsia="方正仿宋_GBK" w:cs="方正仿宋_GBK"/>
          <w:bCs/>
          <w:color w:val="auto"/>
          <w:szCs w:val="24"/>
          <w:u w:val="single"/>
        </w:rPr>
        <w:t xml:space="preserve">              </w:t>
      </w:r>
      <w:r>
        <w:rPr>
          <w:rFonts w:hint="eastAsia" w:ascii="方正仿宋_GBK" w:hAnsi="方正仿宋_GBK" w:eastAsia="方正仿宋_GBK" w:cs="方正仿宋_GBK"/>
          <w:bCs/>
          <w:color w:val="auto"/>
          <w:szCs w:val="24"/>
        </w:rPr>
        <w:t xml:space="preserve"> 元的标的（服务）。</w:t>
      </w:r>
      <w:r>
        <w:rPr>
          <w:rFonts w:hint="eastAsia" w:ascii="方正仿宋_GBK" w:hAnsi="方正仿宋_GBK" w:eastAsia="方正仿宋_GBK" w:cs="方正仿宋_GBK"/>
          <w:color w:val="auto"/>
          <w:szCs w:val="24"/>
        </w:rPr>
        <w:t xml:space="preserve">  </w:t>
      </w:r>
    </w:p>
    <w:p>
      <w:pPr>
        <w:pStyle w:val="13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二、物业服务职责范围，包括但不限于下列各项：</w:t>
      </w:r>
    </w:p>
    <w:p>
      <w:pPr>
        <w:pStyle w:val="13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1、男生、女生宿舍日常安全、卫生管理。</w:t>
      </w:r>
    </w:p>
    <w:p>
      <w:pPr>
        <w:pStyle w:val="13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2、办公楼、宿舍楼、教学楼、报告厅、体育馆、图书馆等校园内所有场馆及教工宿舍区等日常保洁。</w:t>
      </w:r>
    </w:p>
    <w:p>
      <w:pPr>
        <w:pStyle w:val="13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3、公共洗手间清洁卫生。</w:t>
      </w:r>
    </w:p>
    <w:p>
      <w:pPr>
        <w:pStyle w:val="13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4、日常垃圾收集、清运。</w:t>
      </w:r>
    </w:p>
    <w:p>
      <w:pPr>
        <w:pStyle w:val="13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5、放假期间校园校外及学校临时性的保洁、维修等相关工作。</w:t>
      </w:r>
    </w:p>
    <w:p>
      <w:pPr>
        <w:pStyle w:val="13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其中各种保洁工具、材料、服装等均由乙方自备。（具体内容见采购文件和乙方的投标文件）。</w:t>
      </w:r>
    </w:p>
    <w:p>
      <w:pPr>
        <w:pStyle w:val="178"/>
        <w:widowControl/>
        <w:spacing w:line="560" w:lineRule="exact"/>
        <w:ind w:firstLine="480"/>
        <w:jc w:val="left"/>
        <w:rPr>
          <w:rFonts w:ascii="方正仿宋_GBK" w:hAnsi="方正仿宋_GBK" w:eastAsia="方正仿宋_GBK" w:cs="方正仿宋_GBK"/>
          <w:bCs/>
          <w:sz w:val="24"/>
          <w:szCs w:val="24"/>
          <w:highlight w:val="yellow"/>
        </w:rPr>
      </w:pPr>
      <w:r>
        <w:rPr>
          <w:rFonts w:hint="eastAsia" w:ascii="方正仿宋_GBK" w:hAnsi="方正仿宋_GBK" w:eastAsia="方正仿宋_GBK" w:cs="方正仿宋_GBK"/>
          <w:bCs/>
          <w:sz w:val="24"/>
          <w:szCs w:val="24"/>
        </w:rPr>
        <w:t>提供服务及管理时间自</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年</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月</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日至</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年</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月</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日。在合同有效期内一方不得擅自变更或中止此项合同，如未经双方同意，擅自变更或中止此项的一方要负违约责任。此项合同需终止或续签，应在合同期内提前通知对方。</w:t>
      </w:r>
    </w:p>
    <w:p>
      <w:pPr>
        <w:pStyle w:val="178"/>
        <w:widowControl/>
        <w:spacing w:line="560" w:lineRule="exact"/>
        <w:ind w:firstLine="480"/>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1、下列文件为本合同不可分割部分：</w:t>
      </w:r>
    </w:p>
    <w:p>
      <w:pPr>
        <w:pStyle w:val="178"/>
        <w:widowControl/>
        <w:spacing w:line="560" w:lineRule="exact"/>
        <w:ind w:firstLine="480"/>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① 中标通知书；</w:t>
      </w:r>
    </w:p>
    <w:p>
      <w:pPr>
        <w:pStyle w:val="178"/>
        <w:widowControl/>
        <w:spacing w:line="560" w:lineRule="exact"/>
        <w:ind w:firstLine="480"/>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② 乙方的投标文件；</w:t>
      </w:r>
    </w:p>
    <w:p>
      <w:pPr>
        <w:pStyle w:val="178"/>
        <w:widowControl/>
        <w:spacing w:line="560" w:lineRule="exact"/>
        <w:ind w:firstLine="480"/>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③ 乙方在投标过程中所作的其它承诺、声明、书面澄清等；</w:t>
      </w:r>
    </w:p>
    <w:p>
      <w:pPr>
        <w:pStyle w:val="178"/>
        <w:widowControl/>
        <w:spacing w:line="560" w:lineRule="exact"/>
        <w:ind w:firstLine="480"/>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④ 采购文件及其附件；</w:t>
      </w:r>
    </w:p>
    <w:p>
      <w:pPr>
        <w:pStyle w:val="178"/>
        <w:widowControl/>
        <w:spacing w:line="560" w:lineRule="exact"/>
        <w:ind w:firstLine="480"/>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⑤ 合同附件。</w:t>
      </w:r>
    </w:p>
    <w:p>
      <w:pPr>
        <w:pStyle w:val="178"/>
        <w:widowControl/>
        <w:spacing w:line="560" w:lineRule="exact"/>
        <w:ind w:firstLine="480"/>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以上与本合同具有同等法律效力</w:t>
      </w:r>
    </w:p>
    <w:p>
      <w:pPr>
        <w:pStyle w:val="178"/>
        <w:widowControl/>
        <w:spacing w:line="560" w:lineRule="exact"/>
        <w:ind w:firstLine="480"/>
        <w:jc w:val="left"/>
        <w:rPr>
          <w:rFonts w:ascii="方正仿宋_GBK" w:hAnsi="方正仿宋_GBK" w:eastAsia="方正仿宋_GBK" w:cs="方正仿宋_GBK"/>
          <w:sz w:val="24"/>
          <w:szCs w:val="24"/>
        </w:rPr>
      </w:pPr>
      <w:r>
        <w:rPr>
          <w:rFonts w:hint="eastAsia" w:ascii="方正仿宋_GBK" w:hAnsi="方正仿宋_GBK" w:eastAsia="方正仿宋_GBK" w:cs="方正仿宋_GBK"/>
          <w:bCs/>
          <w:sz w:val="24"/>
          <w:szCs w:val="24"/>
        </w:rPr>
        <w:t>3、乙方聘用的人员。</w:t>
      </w:r>
    </w:p>
    <w:p>
      <w:pPr>
        <w:pStyle w:val="178"/>
        <w:widowControl/>
        <w:spacing w:line="560" w:lineRule="exact"/>
        <w:ind w:firstLine="480"/>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4、履行方式：乙方按甲方采购要求及合同约定提供服务，服务过程中的各种风险由乙方承担；实施方式由乙方视情况自定，费用自负。</w:t>
      </w:r>
    </w:p>
    <w:p>
      <w:pPr>
        <w:pStyle w:val="93"/>
        <w:spacing w:line="560" w:lineRule="exact"/>
        <w:ind w:firstLine="241" w:firstLineChars="100"/>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三、项目服务要求</w:t>
      </w:r>
    </w:p>
    <w:p>
      <w:pPr>
        <w:pStyle w:val="143"/>
        <w:spacing w:line="560" w:lineRule="exact"/>
        <w:ind w:firstLine="482" w:firstLineChars="200"/>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（一）服务方案</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1、所有员工着工作制服上班，遵守打卡（签到）制度。在上岗前对每位员工进行礼节礼貌、仪容仪表、操作规范等培训，合格者持证上岗。</w:t>
      </w:r>
    </w:p>
    <w:p>
      <w:pPr>
        <w:pStyle w:val="134"/>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2、上班期间必须坐班，严禁无故外出，按时巡视，保证所属区域卫生干净，做到眼勤、手勤、脚勤、认真主动、不留卫生死角。</w:t>
      </w:r>
    </w:p>
    <w:p>
      <w:pPr>
        <w:pStyle w:val="134"/>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3、确保每天上班时间不少于8小时。</w:t>
      </w:r>
    </w:p>
    <w:p>
      <w:pPr>
        <w:pStyle w:val="134"/>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4、所有员工试行登记备案制，不得随意更换，如有特殊情况，应向使用单位申请，经同意后方可调整。</w:t>
      </w:r>
    </w:p>
    <w:p>
      <w:pPr>
        <w:pStyle w:val="134"/>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5、乙方应制定内控制度，结合使用单位日常考核表，对员工进行日常管理。</w:t>
      </w:r>
    </w:p>
    <w:p>
      <w:pPr>
        <w:pStyle w:val="134"/>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6、乙方在签订合同后，须派遣相关人员进驻现场，熟悉工作范围和工程内容等，积极做好物业交接工作，人员费用由乙方负责。</w:t>
      </w:r>
    </w:p>
    <w:p>
      <w:pPr>
        <w:pStyle w:val="143"/>
        <w:spacing w:line="560" w:lineRule="exact"/>
        <w:ind w:firstLine="482" w:firstLineChars="200"/>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（二）宿舍管理要求</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1、宿管员要求有高度的事业心和爱心，关心爱护每一个学生，严禁体罚、变相体罚、侮辱学生，对于夜间突发疾病或意外的学生要第一时间送到医院救治并报告班主任、年级主任和学校值班校长。</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2、管理员要文明规范，严格按学校要求执行。着装整齐。</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3、宿舍管理员24小时服务值班，及时登记来访者信息。</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4、来访人员进行登记。晚间限时离开，严禁留宿。</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5、按照学校有关宿舍管理的制度，做好住校学生的服务工作。</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6、公寓内无火灾，失窃，斗殴，赌博，传播不良文化等事件和违法行为。</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7、宿舍内学生不得玩手机、不得喧哗、追逐打闹、必须按时就寝、起床。</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8、及时做好宿舍损坏物品的维修工作，确保维修时间不过夜。</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9、开关等管理规定，按学校规定执行。</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10、夜间执勤管理规定，值班人员要实行24小时不间断执勤，每晚必须按时关楼门，关楼门后必须到各楼层检查有无违章用电、用火及宿舍无外来人员现象。晚自习结束，管理员要督促各宿舍舍长及时登记汇报各个宿舍学生到宿舍情况，宿管员必须对照床铺逐个核对，未在宿舍的要落实好去处，并与班主任、年级主任联系对接。</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11、人员进出管理规定</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1.学生必须着校服出入宿舍楼门。</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2.外来人员必须到值班室登记，方可进入宿舍楼，当值门卫必须详细登记外来人员进出楼时间及会客对象。</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3.男生不准进入女生楼，女生不准进入男生楼（特殊情况除外）。</w:t>
      </w:r>
    </w:p>
    <w:p>
      <w:pPr>
        <w:pStyle w:val="134"/>
        <w:spacing w:line="560" w:lineRule="exact"/>
        <w:ind w:firstLine="458" w:firstLineChars="200"/>
        <w:rPr>
          <w:rFonts w:ascii="方正仿宋_GBK" w:hAnsi="方正仿宋_GBK" w:eastAsia="方正仿宋_GBK" w:cs="方正仿宋_GBK"/>
          <w:b/>
          <w:bCs/>
          <w:spacing w:val="-6"/>
          <w:sz w:val="24"/>
          <w:szCs w:val="24"/>
          <w:shd w:val="clear" w:color="auto" w:fill="FFFFFE"/>
        </w:rPr>
      </w:pPr>
      <w:r>
        <w:rPr>
          <w:rFonts w:hint="eastAsia" w:ascii="方正仿宋_GBK" w:hAnsi="方正仿宋_GBK" w:eastAsia="方正仿宋_GBK" w:cs="方正仿宋_GBK"/>
          <w:b/>
          <w:bCs/>
          <w:spacing w:val="-6"/>
          <w:sz w:val="24"/>
          <w:szCs w:val="24"/>
          <w:shd w:val="clear" w:color="auto" w:fill="FFFFFE"/>
        </w:rPr>
        <w:t>（三）保洁管理要求</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1、办公，教学区域卫生要求</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1.每天早上6：30至晚上18：30服从用人单位安排。</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2.要求清洁工做到对工作要积极主动、认真、不留死角。做到眼勤、手勤、脚勤。</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3.特殊事项要求：</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（1）所有厕所打扫上午4次，下午4次。</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（2）校园路面清扫上午2次，下午2次。</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（3）所有场馆：上午2次，下午2次。</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以上场所保持整洁，无异味，无卫生死角</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4.卫生间服务标准按各学校卫生间保洁标准执行：</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 xml:space="preserve">（1）门窗、墙面、瓷砖、天花板执行标准：干净、整洁、明亮、无积尘、无蜘蛛网； </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（2）洗漱台、面盆、镜面执行标准：干净、明亮、无斑点；</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（3）便坑、便池、尿斗执行标准：干净无污垢、无异味、污水管下水道畅通；</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（4）室内地面执行标准：无脚印、无污迹、无水迹；</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（5）空间：常开窗 、空气流通、无异味；</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（6）蹲位隔板、隔墙执行标准：无乱涂、乱画、乱粘贴；</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（7）水龙头、落水管执行标准：光洁、明亮、无灰尘；</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（8）手纸娄、垃圾桶执行标准：日产日清、清洁；</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（9）地漏排水执行标准：畅通。</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2、宿舍卫生打扫要求</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1.每天保持宿舍卫生干净整洁，垃圾及时清理。</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2.洗手间，洗手间的地面，每天冲刷，除掉一切污渍，进行有效灭蝇处理，及时保洁。</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走道及楼梯，清洁员每天上班时首先要清扫走廊及楼梯，从上至下清扫楼道，并将果皮、烟头、纸屑等垃圾收集在一起送到指定的垃圾中转站。将拖把洗净拧干从高层往下层逐层拖抹楼面及楼梯。用抹布自下而上擦拭楼梯扶手及栏杆。</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4.负责宿舍公共区域文化设计宣传工作，把规章制度，作息时间，卫生标准等内容布置上墙，在公共区域放置或张贴制作精美的友情提示及告知牌等。如：请注意公共卫生，防火防盗等。</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5.负责宿舍外周边的卫生。</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6.负责学校值班人员走后的纪律督察。</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7.负责制定宿舍管理制度，严格执行打分标准，以及负责宿舍的检查，评比扣分。并在每天早晨九点前将宿舍检查，评比扣分和学生违纪情况报告政教处、年级组。</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3、教学区域卫生间清洗标准</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1.每天对所管区域地面清扫不少于一次，地面无杂物、路面无泥沙、无杂草、无积水、车棚无杂物，清洁率99%以上。</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2.每天对所管区域垃圾及时清运，百分之百日产日清，做到整洁、无味，无污渍、垃圾桶每天擦拭干净。</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3.对所管区域保洁，每天达到12小时。公共场所去杂物，保洁率99%以上。</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4.所管区域特别是卫生间消毒，分季节性按学校要求进行，做到无蝇、少蚊、少蚁、达到消杀效果。</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5.对所管区域灭鼠、灭蟑螂、灭蚁按当地政府统一安排进行灭杀。</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6.卫生间地面墙面干净、瓷砖无锈渍、室内无异味，便池内外无杂物无污渍，垃圾清理及时、设备完好无损、无堵塞现象。</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4、办公楼，宿舍楼，教学楼，报告厅，体育馆，图书馆等清洁标准</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1.目视地面无杂物，无尘土，无积水，无污渍。</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2.区域内无废弃杂物、无乱堆乱放、无卫生死角、无异味等。</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3.楼道和楼梯洁净无污渍、楼梯扶手、护栏无尘土。</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4.每天所管区域清扫不少于两次，保洁率99%以上。</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5.每周对所管区域公用信箱、消防箱。灭火器材等设施设备进行一次擦拭。</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6.每周对所管区域公用部位门窗、转门、空调风口、百叶抹擦清扫一次。</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7.每天对各层公共走廊拖扫两次，公用房间清扫一次。</w:t>
      </w:r>
    </w:p>
    <w:p>
      <w:pPr>
        <w:pStyle w:val="134"/>
        <w:spacing w:line="560" w:lineRule="exact"/>
        <w:ind w:firstLine="458" w:firstLineChars="200"/>
        <w:rPr>
          <w:rFonts w:ascii="方正仿宋_GBK" w:hAnsi="方正仿宋_GBK" w:eastAsia="方正仿宋_GBK" w:cs="方正仿宋_GBK"/>
          <w:b/>
          <w:bCs/>
          <w:spacing w:val="-6"/>
          <w:sz w:val="24"/>
          <w:szCs w:val="24"/>
          <w:shd w:val="clear" w:color="auto" w:fill="FFFFFE"/>
        </w:rPr>
      </w:pPr>
      <w:r>
        <w:rPr>
          <w:rFonts w:hint="eastAsia" w:ascii="方正仿宋_GBK" w:hAnsi="方正仿宋_GBK" w:eastAsia="方正仿宋_GBK" w:cs="方正仿宋_GBK"/>
          <w:b/>
          <w:bCs/>
          <w:spacing w:val="-6"/>
          <w:sz w:val="24"/>
          <w:szCs w:val="24"/>
          <w:shd w:val="clear" w:color="auto" w:fill="FFFFFE"/>
        </w:rPr>
        <w:t>（四）水电及日常维护要求；</w:t>
      </w:r>
    </w:p>
    <w:p>
      <w:pPr>
        <w:pStyle w:val="134"/>
        <w:spacing w:line="560" w:lineRule="exact"/>
        <w:ind w:firstLine="458" w:firstLineChars="200"/>
        <w:rPr>
          <w:rFonts w:ascii="方正仿宋_GBK" w:hAnsi="方正仿宋_GBK" w:eastAsia="方正仿宋_GBK" w:cs="方正仿宋_GBK"/>
          <w:spacing w:val="-6"/>
          <w:sz w:val="24"/>
          <w:szCs w:val="24"/>
          <w:shd w:val="clear" w:color="auto" w:fill="FFFFFE"/>
        </w:rPr>
      </w:pPr>
      <w:r>
        <w:rPr>
          <w:rFonts w:hint="eastAsia" w:ascii="方正仿宋_GBK" w:hAnsi="方正仿宋_GBK" w:eastAsia="方正仿宋_GBK" w:cs="方正仿宋_GBK"/>
          <w:b/>
          <w:bCs/>
          <w:spacing w:val="-6"/>
          <w:sz w:val="24"/>
          <w:szCs w:val="24"/>
          <w:shd w:val="clear" w:color="auto" w:fill="FFFFFE"/>
        </w:rPr>
        <w:t>★水电工具有合格维修电工证书，须提供证书原件扫描件。</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1、熟悉管理区水电管网分布，供水、供电设施及控制系统的走向位置及其养护办法并做好养护工作，密切配合供水供电部门做好管理区的供水供电服务工作。</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2、负责管理区范围内所有公共照明的检查、各种设备、设施、维护和更换工作， 并为业主提供电路、给排水设施维修服务。</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3、按照要求巡视管理区，掌握供水、供电系统的工作情况，如发现有损坏、隐患或其它不正常情况，应及时处理，履行24小时抢修职责，确保设备运行正常。</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4、负责电梯口的日常巡检，监督协助电梯修保专业单位完成电梯定期维保，电梯出现突发事故时，按照操作规程处理。</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5、熟悉强、弱电系统的操作规程，按时完成日常维保工作。</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6、严格按安全操作规程检修作业，确保作业安全，防止发生事故。</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7、执行工程巡查制度，监督房屋三次装修过程，及时发现并制止违章装修现象。</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8、定期管道、窑井管网检修维护管理。保证管道、窑井管网的畅通。</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9、妥善保管采购单位发放的各类维修工具。</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10、设备运行与维护</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1.设备运行与维护服务</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（1）突出重点，“安全第一，经济运行”的方针。</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（2）保证机电设备正常运行并做好相关记录。</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（3）承诺日常维护98%执行，设备设施完好率98%，维修及时率98%，急修及时率100%；维修工程质量合格率98%；职工满意度90%以上。</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（4）设立24小时工程报修中心，公布报修热线电话，要求对报修等数据进行汇总和统计，能随时提供相应的数据，给甲方的决策进行支持。</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（5）建立完善的规章制度和岗位职责、操作流程、应急预案。</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（6）有健全的设施设备运行维护标准化管理体系、质量管理评定体系。</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（7）乙方对项目运行设备运行维护管理，并对部门日常工作、设备、维护工作数据进行汇总和统计，能随时提供相应的数据给甲方的决策进行支持。</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（8）乙方按计划熟悉设备机房和设备运行情况，做好相关记录。</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（9）乙方对员工岗前培训，且每年至少对员工进行两次岗位培训并作好记录。</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（10）乙方指定专门能源管理人员，加强用能设备管理和能耗管理，并指定具体的节能管理措施；做好节能运行监测，每月统计能源消耗表及其分析提供给甲方。</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（11）乙方保证设备机房、值班室等责任区域内的管理制度齐全，标识清楚， 做好各种安全用具、消防用具、设备备品及维修工具的管理，保持设备责任区的清洁卫生，设备、墙面、地面干净整洁、无破损、无渗水、漏电、锈蚀现象。</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（12）乙方掌握责任区内设备的用途、参数、运行状况，健全设备档案，提出合理的设备维护保养的措施及方案计划，并对设备进行故障分析诊断。</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（13）甲方指定的第三方单位对投标方管辖的设备设施进行维修、保养、改造、施工时，乙方负责协调、配合和监管。</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（14）确保动力及配电设备24小时监护值班，值班人员严格按照国家规定持证上岗，各项作业的劳动保护符合国家规范。</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（15）中标人配合各种国家要求的检查、监测、年检工作。</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（16）中标人负责执行责任范围内的各种有关法律、法规和政策规定的其它事项。</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（17）乙方每天24小时提供紧急维修服务，对紧急报修10分钟内作出响应并及时修复，常规报修2小时内做出响应并修复。</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（18）抓好安全生产，安全责任层层落实，签订责任状，责任到组和人。承担合同期内物业委托管理范围内的安全生产主体责任。</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（19）所有运行的操作流程、制度、计划、总结、培训、考核及各种运行记录、交接班记录、排班表、能耗统计及分析等资料必须每月上交甲方。</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2.各系统运行具体要求</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（1）配电系统</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负责低压配电室内设备设施的日常操作、巡视、日常维护保养及安全工作，并做好相关记录。</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a、保持房间整洁，亮度适中，墙面地面无渗漏水现象，无易燃易爆、杂物等堆放，配电柜表面无污渍。</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b、检查桥架孔洞、墙洞封堵是否脱落，达到防水、防火、防小动物等要求； c、配电箱（柜）内元器件进行除尘紧固，无过热、异味、锈蚀现象。</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c、每日检查变压器电压、电流互感器、断路器、隔离开关、高压熔断器及避雷器、配电箱、导线等供电系统的运行状况，并定时抄表作好记录，出现异常及时处理。</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d、潮湿天气时，采用安全有效措施，保持配电房内主要电气设备干燥。g、每半年组织运行值班人员做一次应急操作演练。</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（2）给水设施</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a、保持给水设施清洁卫生，良好的通风、照明和采暖，地面排水畅通，每3个月清洗1次给水设施，保持正常运行，以防低位水池液压阀失灵，各种仪表指示稳定正常，阀门开启灵活，发现漏水及时维修；消防泵、喷淋泵、污水泵等不经常启动的水泵每月启动一次，保持水泵正常运行，每月检查一次消防泵及管道阀门，使之处于完好和政策开启状态；水泵运作部件经常加油，保持润滑灵活；标明各种标志，每日填写水泵运行记录，建档备查。</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b、每半年对给水管道进行一次全面检查维修，对轻度锈蚀应将蜕皮清理干净。各类阀门定期开关，对出现故障及时维修。</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c、每日巡视检查泵、管道、水箱、阀门、水表、状况，定期保养、维护。</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（3）照明系统</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a、负责全部照明灯具、大楼亮化及各楼层配电箱线路的维修保养及配电箱内电器元件的更换；维护线路电缆，发现问题及时上报甲方，其中包括灯具维修，插座、线路检查维修，增加电源插座等。</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b、负责设备带电系统的运行与维护，并做好相关记录。</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（4）排水系统</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a、负责给水、排水的阀门、龙头、开关等的日常维修及管线的跑、冒、滴、漏的维修工作，全部下水，地漏疏通工作及屋面天沟、雨落管等维修，并做好相关记录。</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b、每天巡查一次污水坑、集水井，每月巡查一次化粪池，每季度巡查一次污水过井，并做好相关记录。</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c、每月检查室外污水、雨水管道的排放工作情况。在非常时期（如汛期）要有应急措施，加强值班巡视。</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d、负责责任区的防汛工作。</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e、每年对污水、雨水所用潜水泵、各种循环泵类进行一次维修保养，并做好相关记录。</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（5）综合维修</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负责建筑物及室内外维护修缮工作，并做好相关记录。</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a、对责任区内的各种设备设施进行调整、检修、更换，并做好相关记录；</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b、每月巡查一次及排水竖井、配电竖井、配电间及设备层、地沟的管线、电缆沟的电缆，并做好配电箱的除尘及室内卫生，并做好相关记录。</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c、对各种未签维保协议的设备，进行日常巡视，每月巡查一次及排水竖井、配电竖井、配电间及设备层、地沟的管线、电缆沟的电缆，并做好配电箱的除尘及室内卫生，并做好相关记录。</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d、对所有设备出现故障时进行必要的应急检查、处理，并做好相关记录。</w:t>
      </w:r>
    </w:p>
    <w:p>
      <w:pPr>
        <w:pStyle w:val="93"/>
        <w:spacing w:line="560" w:lineRule="exact"/>
        <w:ind w:firstLine="458" w:firstLineChars="200"/>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pacing w:val="-6"/>
          <w:sz w:val="24"/>
          <w:szCs w:val="24"/>
          <w:shd w:val="clear" w:color="auto" w:fill="FFFFFE"/>
        </w:rPr>
        <w:t>（五）</w:t>
      </w: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b/>
          <w:bCs/>
          <w:sz w:val="24"/>
          <w:szCs w:val="24"/>
        </w:rPr>
        <w:t>工具设备、耗材等（乙方须按甲方要求配齐所有工具设备，并由甲方进行查验）：</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1、乙方须具备的设备</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洗地机</w:t>
      </w:r>
      <w:r>
        <w:rPr>
          <w:rFonts w:hint="eastAsia" w:ascii="方正仿宋_GBK" w:hAnsi="方正仿宋_GBK" w:eastAsia="方正仿宋_GBK" w:cs="方正仿宋_GBK"/>
          <w:bCs/>
          <w:kern w:val="0"/>
          <w:sz w:val="24"/>
          <w:szCs w:val="24"/>
          <w:u w:val="single"/>
        </w:rPr>
        <w:t xml:space="preserve">     </w:t>
      </w:r>
      <w:r>
        <w:rPr>
          <w:rFonts w:hint="eastAsia" w:ascii="方正仿宋_GBK" w:hAnsi="方正仿宋_GBK" w:eastAsia="方正仿宋_GBK" w:cs="方正仿宋_GBK"/>
          <w:bCs/>
          <w:kern w:val="0"/>
          <w:sz w:val="24"/>
          <w:szCs w:val="24"/>
        </w:rPr>
        <w:t>台、垃圾车</w:t>
      </w:r>
      <w:r>
        <w:rPr>
          <w:rFonts w:hint="eastAsia" w:ascii="方正仿宋_GBK" w:hAnsi="方正仿宋_GBK" w:eastAsia="方正仿宋_GBK" w:cs="方正仿宋_GBK"/>
          <w:bCs/>
          <w:kern w:val="0"/>
          <w:sz w:val="24"/>
          <w:szCs w:val="24"/>
          <w:u w:val="single"/>
        </w:rPr>
        <w:t xml:space="preserve">     </w:t>
      </w:r>
      <w:r>
        <w:rPr>
          <w:rFonts w:hint="eastAsia" w:ascii="方正仿宋_GBK" w:hAnsi="方正仿宋_GBK" w:eastAsia="方正仿宋_GBK" w:cs="方正仿宋_GBK"/>
          <w:bCs/>
          <w:kern w:val="0"/>
          <w:sz w:val="24"/>
          <w:szCs w:val="24"/>
        </w:rPr>
        <w:t>台（大型电动车）</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2、乙方须提供的工具、耗材</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大小尘推、尘推液；大小玻璃刮、保洁手推车、大小抹布、海绵拖把、条把、扫帚等。</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3、在满足以上基础之上，投标人对拟投入本项目服务的设备工具（包含保洁设备工具、运送设备工具等）装备应齐全、实用。</w:t>
      </w:r>
    </w:p>
    <w:p>
      <w:pPr>
        <w:pStyle w:val="91"/>
        <w:spacing w:line="560" w:lineRule="exact"/>
        <w:ind w:firstLine="482" w:firstLineChars="200"/>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（六）内部考核和培训制度</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乙方应组织建立有效的管理机构，制定各项行之有效的管理规章制度，确保服务达到采购人的需求；各岗位人员都须有专门的聘用、培训、考核及保证措施，一旦中标，将严格按照考核方案进行考核。</w:t>
      </w:r>
    </w:p>
    <w:p>
      <w:pPr>
        <w:pStyle w:val="91"/>
        <w:spacing w:line="560" w:lineRule="exact"/>
        <w:ind w:firstLine="482" w:firstLineChars="200"/>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（七）进退场交接措施</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1、交接班前当班人员必须填好各项登记记录，并做好在岗期间的工作日记。</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2、交接班时，下班人员要把本班的工作情况详细交接给下一班，以备下一班人工作，钥匙、工具等物品要交接清楚，并在交接班记录上签名。</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3、必须按时交接班，无特殊情况不得超接班，接班人未到，交班人不得擅自离开岗位，否则有产生的一切后果由乙方负责。</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（八）应对突发事件预案</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1、火灾：一旦有火灾发生，应做到以下几点</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1.迅速拨打119报警。并及时向学校领导汇报。</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2.迅速疏散学生，打开安全通道组织学生有序的进行紧急疏散到安全地带。</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3.利用现有设备迅速灭火。</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2、学生生病</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对于夜间突发疾病或者发生意外的学生第一时间送治并报告班主任、年级主任、学校值班校长。</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3、治安事件</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学生宿舍发生失窃、打架斗殴、校外人员</w:t>
      </w:r>
      <w:r>
        <w:rPr>
          <w:rFonts w:hint="eastAsia" w:ascii="方正仿宋_GBK" w:hAnsi="方正仿宋_GBK" w:eastAsia="方正仿宋_GBK" w:cs="方正仿宋_GBK"/>
          <w:bCs/>
          <w:kern w:val="0"/>
          <w:sz w:val="24"/>
          <w:szCs w:val="24"/>
          <w:highlight w:val="green"/>
        </w:rPr>
        <w:t>寻衅</w:t>
      </w:r>
      <w:r>
        <w:rPr>
          <w:rFonts w:hint="eastAsia" w:ascii="方正仿宋_GBK" w:hAnsi="方正仿宋_GBK" w:eastAsia="方正仿宋_GBK" w:cs="方正仿宋_GBK"/>
          <w:bCs/>
          <w:kern w:val="0"/>
          <w:sz w:val="24"/>
          <w:szCs w:val="24"/>
        </w:rPr>
        <w:t>滋事及其他治安或刑事案件时，宿舍管理人员应按以下步骤进行处置。</w:t>
      </w:r>
    </w:p>
    <w:p>
      <w:pPr>
        <w:pStyle w:val="91"/>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1.报告、迅速拨打校内保安处执勤电话。说明具体地点和简单情况。</w:t>
      </w:r>
    </w:p>
    <w:p>
      <w:pPr>
        <w:pStyle w:val="134"/>
        <w:spacing w:line="560" w:lineRule="exact"/>
        <w:ind w:firstLine="456" w:firstLineChars="200"/>
        <w:rPr>
          <w:rFonts w:ascii="方正仿宋_GBK" w:hAnsi="方正仿宋_GBK" w:eastAsia="方正仿宋_GBK" w:cs="方正仿宋_GBK"/>
          <w:spacing w:val="-6"/>
          <w:sz w:val="24"/>
          <w:szCs w:val="24"/>
          <w:shd w:val="clear" w:color="auto" w:fill="FFFFFE"/>
        </w:rPr>
      </w:pPr>
      <w:r>
        <w:rPr>
          <w:rFonts w:hint="eastAsia" w:ascii="方正仿宋_GBK" w:hAnsi="方正仿宋_GBK" w:eastAsia="方正仿宋_GBK" w:cs="方正仿宋_GBK"/>
          <w:spacing w:val="-6"/>
          <w:sz w:val="24"/>
          <w:szCs w:val="24"/>
          <w:shd w:val="clear" w:color="auto" w:fill="FFFFFE"/>
        </w:rPr>
        <w:t>2.处理。宿舍管理人立即到达现场隔离当事人、同时疏散围观人员，如当事人不听制止，要及时报告公安机关。</w:t>
      </w:r>
    </w:p>
    <w:p>
      <w:pPr>
        <w:pStyle w:val="134"/>
        <w:spacing w:line="560" w:lineRule="exact"/>
        <w:ind w:firstLine="456" w:firstLineChars="200"/>
        <w:rPr>
          <w:rFonts w:ascii="方正仿宋_GBK" w:hAnsi="方正仿宋_GBK" w:eastAsia="方正仿宋_GBK" w:cs="方正仿宋_GBK"/>
          <w:spacing w:val="-6"/>
          <w:sz w:val="24"/>
          <w:szCs w:val="24"/>
          <w:shd w:val="clear" w:color="auto" w:fill="FFFFFE"/>
        </w:rPr>
      </w:pPr>
      <w:r>
        <w:rPr>
          <w:rFonts w:hint="eastAsia" w:ascii="方正仿宋_GBK" w:hAnsi="方正仿宋_GBK" w:eastAsia="方正仿宋_GBK" w:cs="方正仿宋_GBK"/>
          <w:spacing w:val="-6"/>
          <w:sz w:val="24"/>
          <w:szCs w:val="24"/>
          <w:shd w:val="clear" w:color="auto" w:fill="FFFFFE"/>
        </w:rPr>
        <w:t>3.值班，宿舍管理员要积极配合相关部门的调查。如实汇报所了解情况。</w:t>
      </w:r>
    </w:p>
    <w:p>
      <w:pPr>
        <w:pStyle w:val="186"/>
        <w:spacing w:line="560" w:lineRule="exact"/>
        <w:ind w:firstLine="482" w:firstLineChars="200"/>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四、人员配置及要求</w:t>
      </w:r>
    </w:p>
    <w:p>
      <w:pPr>
        <w:pStyle w:val="153"/>
        <w:spacing w:line="56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1、人员配备</w:t>
      </w:r>
    </w:p>
    <w:tbl>
      <w:tblPr>
        <w:tblStyle w:val="43"/>
        <w:tblpPr w:leftFromText="180" w:rightFromText="180" w:vertAnchor="text" w:horzAnchor="page" w:tblpX="1562" w:tblpY="163"/>
        <w:tblOverlap w:val="never"/>
        <w:tblW w:w="8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1506"/>
        <w:gridCol w:w="1506"/>
        <w:gridCol w:w="1177"/>
        <w:gridCol w:w="2008"/>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362"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序号</w:t>
            </w:r>
          </w:p>
        </w:tc>
        <w:tc>
          <w:tcPr>
            <w:tcW w:w="1506" w:type="dxa"/>
            <w:vAlign w:val="center"/>
          </w:tcPr>
          <w:p>
            <w:pPr>
              <w:pStyle w:val="134"/>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配备</w:t>
            </w:r>
          </w:p>
        </w:tc>
        <w:tc>
          <w:tcPr>
            <w:tcW w:w="1506"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岗位</w:t>
            </w:r>
          </w:p>
        </w:tc>
        <w:tc>
          <w:tcPr>
            <w:tcW w:w="1177"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人数</w:t>
            </w:r>
          </w:p>
        </w:tc>
        <w:tc>
          <w:tcPr>
            <w:tcW w:w="200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年龄</w:t>
            </w:r>
          </w:p>
        </w:tc>
        <w:tc>
          <w:tcPr>
            <w:tcW w:w="129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362"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1</w:t>
            </w:r>
          </w:p>
        </w:tc>
        <w:tc>
          <w:tcPr>
            <w:tcW w:w="1506" w:type="dxa"/>
            <w:vAlign w:val="center"/>
          </w:tcPr>
          <w:p>
            <w:pPr>
              <w:pStyle w:val="134"/>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洋河</w:t>
            </w:r>
          </w:p>
        </w:tc>
        <w:tc>
          <w:tcPr>
            <w:tcW w:w="1506" w:type="dxa"/>
            <w:vAlign w:val="center"/>
          </w:tcPr>
          <w:p>
            <w:pPr>
              <w:pStyle w:val="134"/>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保洁员</w:t>
            </w:r>
          </w:p>
        </w:tc>
        <w:tc>
          <w:tcPr>
            <w:tcW w:w="1177" w:type="dxa"/>
            <w:vAlign w:val="center"/>
          </w:tcPr>
          <w:p>
            <w:pPr>
              <w:pStyle w:val="134"/>
              <w:tabs>
                <w:tab w:val="center" w:pos="329"/>
                <w:tab w:val="left" w:pos="494"/>
              </w:tabs>
              <w:spacing w:line="560" w:lineRule="exact"/>
              <w:jc w:val="lef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ab/>
            </w:r>
            <w:r>
              <w:rPr>
                <w:rFonts w:hint="eastAsia" w:ascii="方正仿宋_GBK" w:hAnsi="方正仿宋_GBK" w:eastAsia="方正仿宋_GBK" w:cs="方正仿宋_GBK"/>
                <w:kern w:val="0"/>
                <w:sz w:val="24"/>
                <w:szCs w:val="24"/>
              </w:rPr>
              <w:t xml:space="preserve">  26</w:t>
            </w:r>
          </w:p>
        </w:tc>
        <w:tc>
          <w:tcPr>
            <w:tcW w:w="200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362"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2</w:t>
            </w:r>
          </w:p>
        </w:tc>
        <w:tc>
          <w:tcPr>
            <w:tcW w:w="1506" w:type="dxa"/>
            <w:vAlign w:val="center"/>
          </w:tcPr>
          <w:p>
            <w:pPr>
              <w:pStyle w:val="134"/>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仓集</w:t>
            </w:r>
          </w:p>
        </w:tc>
        <w:tc>
          <w:tcPr>
            <w:tcW w:w="1506" w:type="dxa"/>
            <w:vAlign w:val="center"/>
          </w:tcPr>
          <w:p>
            <w:pPr>
              <w:pStyle w:val="134"/>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保洁员</w:t>
            </w:r>
          </w:p>
        </w:tc>
        <w:tc>
          <w:tcPr>
            <w:tcW w:w="1177"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7</w:t>
            </w:r>
          </w:p>
        </w:tc>
        <w:tc>
          <w:tcPr>
            <w:tcW w:w="200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362" w:type="dxa"/>
            <w:vAlign w:val="center"/>
          </w:tcPr>
          <w:p>
            <w:pPr>
              <w:pStyle w:val="134"/>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w:t>
            </w:r>
          </w:p>
        </w:tc>
        <w:tc>
          <w:tcPr>
            <w:tcW w:w="1506" w:type="dxa"/>
            <w:vAlign w:val="center"/>
          </w:tcPr>
          <w:p>
            <w:pPr>
              <w:pStyle w:val="134"/>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郑楼</w:t>
            </w:r>
          </w:p>
        </w:tc>
        <w:tc>
          <w:tcPr>
            <w:tcW w:w="1506" w:type="dxa"/>
            <w:vAlign w:val="center"/>
          </w:tcPr>
          <w:p>
            <w:pPr>
              <w:pStyle w:val="134"/>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保洁员</w:t>
            </w:r>
          </w:p>
        </w:tc>
        <w:tc>
          <w:tcPr>
            <w:tcW w:w="1177"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7</w:t>
            </w:r>
          </w:p>
        </w:tc>
        <w:tc>
          <w:tcPr>
            <w:tcW w:w="200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62"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4</w:t>
            </w:r>
          </w:p>
        </w:tc>
        <w:tc>
          <w:tcPr>
            <w:tcW w:w="1506" w:type="dxa"/>
            <w:vMerge w:val="restart"/>
            <w:vAlign w:val="center"/>
          </w:tcPr>
          <w:p>
            <w:pPr>
              <w:pStyle w:val="134"/>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洋河</w:t>
            </w:r>
          </w:p>
        </w:tc>
        <w:tc>
          <w:tcPr>
            <w:tcW w:w="1506" w:type="dxa"/>
            <w:vAlign w:val="center"/>
          </w:tcPr>
          <w:p>
            <w:pPr>
              <w:pStyle w:val="134"/>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男宿管</w:t>
            </w:r>
          </w:p>
        </w:tc>
        <w:tc>
          <w:tcPr>
            <w:tcW w:w="1177"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w:t>
            </w:r>
          </w:p>
        </w:tc>
        <w:tc>
          <w:tcPr>
            <w:tcW w:w="200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60岁以下</w:t>
            </w:r>
          </w:p>
        </w:tc>
        <w:tc>
          <w:tcPr>
            <w:tcW w:w="129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62" w:type="dxa"/>
            <w:vAlign w:val="center"/>
          </w:tcPr>
          <w:p>
            <w:pPr>
              <w:pStyle w:val="134"/>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5</w:t>
            </w:r>
          </w:p>
        </w:tc>
        <w:tc>
          <w:tcPr>
            <w:tcW w:w="1506" w:type="dxa"/>
            <w:vMerge w:val="continue"/>
            <w:vAlign w:val="center"/>
          </w:tcPr>
          <w:p>
            <w:pPr>
              <w:pStyle w:val="134"/>
              <w:spacing w:line="560" w:lineRule="exact"/>
              <w:textAlignment w:val="center"/>
              <w:rPr>
                <w:rFonts w:ascii="方正仿宋_GBK" w:hAnsi="方正仿宋_GBK" w:eastAsia="方正仿宋_GBK" w:cs="方正仿宋_GBK"/>
                <w:kern w:val="0"/>
                <w:sz w:val="24"/>
                <w:szCs w:val="24"/>
              </w:rPr>
            </w:pPr>
          </w:p>
        </w:tc>
        <w:tc>
          <w:tcPr>
            <w:tcW w:w="1506" w:type="dxa"/>
            <w:vAlign w:val="center"/>
          </w:tcPr>
          <w:p>
            <w:pPr>
              <w:pStyle w:val="134"/>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女宿管</w:t>
            </w:r>
          </w:p>
        </w:tc>
        <w:tc>
          <w:tcPr>
            <w:tcW w:w="1177"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w:t>
            </w:r>
          </w:p>
        </w:tc>
        <w:tc>
          <w:tcPr>
            <w:tcW w:w="200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62" w:type="dxa"/>
            <w:vAlign w:val="center"/>
          </w:tcPr>
          <w:p>
            <w:pPr>
              <w:pStyle w:val="134"/>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6</w:t>
            </w:r>
          </w:p>
        </w:tc>
        <w:tc>
          <w:tcPr>
            <w:tcW w:w="1506" w:type="dxa"/>
            <w:vMerge w:val="restart"/>
            <w:vAlign w:val="center"/>
          </w:tcPr>
          <w:p>
            <w:pPr>
              <w:pStyle w:val="134"/>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仓集</w:t>
            </w:r>
          </w:p>
        </w:tc>
        <w:tc>
          <w:tcPr>
            <w:tcW w:w="1506" w:type="dxa"/>
            <w:vAlign w:val="center"/>
          </w:tcPr>
          <w:p>
            <w:pPr>
              <w:pStyle w:val="134"/>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男宿管</w:t>
            </w:r>
          </w:p>
        </w:tc>
        <w:tc>
          <w:tcPr>
            <w:tcW w:w="1177"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00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60岁以下</w:t>
            </w:r>
          </w:p>
        </w:tc>
        <w:tc>
          <w:tcPr>
            <w:tcW w:w="129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62" w:type="dxa"/>
            <w:vAlign w:val="center"/>
          </w:tcPr>
          <w:p>
            <w:pPr>
              <w:pStyle w:val="134"/>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7</w:t>
            </w:r>
          </w:p>
        </w:tc>
        <w:tc>
          <w:tcPr>
            <w:tcW w:w="1506" w:type="dxa"/>
            <w:vMerge w:val="continue"/>
            <w:vAlign w:val="center"/>
          </w:tcPr>
          <w:p>
            <w:pPr>
              <w:pStyle w:val="134"/>
              <w:spacing w:line="560" w:lineRule="exact"/>
              <w:textAlignment w:val="center"/>
              <w:rPr>
                <w:rFonts w:ascii="方正仿宋_GBK" w:hAnsi="方正仿宋_GBK" w:eastAsia="方正仿宋_GBK" w:cs="方正仿宋_GBK"/>
                <w:kern w:val="0"/>
                <w:sz w:val="24"/>
                <w:szCs w:val="24"/>
              </w:rPr>
            </w:pPr>
          </w:p>
        </w:tc>
        <w:tc>
          <w:tcPr>
            <w:tcW w:w="1506" w:type="dxa"/>
            <w:vAlign w:val="center"/>
          </w:tcPr>
          <w:p>
            <w:pPr>
              <w:pStyle w:val="134"/>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女宿管</w:t>
            </w:r>
          </w:p>
        </w:tc>
        <w:tc>
          <w:tcPr>
            <w:tcW w:w="1177"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00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62" w:type="dxa"/>
            <w:vAlign w:val="center"/>
          </w:tcPr>
          <w:p>
            <w:pPr>
              <w:pStyle w:val="134"/>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8</w:t>
            </w:r>
          </w:p>
        </w:tc>
        <w:tc>
          <w:tcPr>
            <w:tcW w:w="1506" w:type="dxa"/>
            <w:vMerge w:val="restart"/>
            <w:vAlign w:val="center"/>
          </w:tcPr>
          <w:p>
            <w:pPr>
              <w:pStyle w:val="134"/>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郑楼</w:t>
            </w:r>
          </w:p>
        </w:tc>
        <w:tc>
          <w:tcPr>
            <w:tcW w:w="1506" w:type="dxa"/>
            <w:vAlign w:val="center"/>
          </w:tcPr>
          <w:p>
            <w:pPr>
              <w:pStyle w:val="134"/>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男宿管</w:t>
            </w:r>
          </w:p>
        </w:tc>
        <w:tc>
          <w:tcPr>
            <w:tcW w:w="1177"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00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60岁以下</w:t>
            </w:r>
          </w:p>
        </w:tc>
        <w:tc>
          <w:tcPr>
            <w:tcW w:w="129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62" w:type="dxa"/>
            <w:vAlign w:val="center"/>
          </w:tcPr>
          <w:p>
            <w:pPr>
              <w:pStyle w:val="134"/>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9</w:t>
            </w:r>
          </w:p>
        </w:tc>
        <w:tc>
          <w:tcPr>
            <w:tcW w:w="1506" w:type="dxa"/>
            <w:vMerge w:val="continue"/>
            <w:vAlign w:val="center"/>
          </w:tcPr>
          <w:p>
            <w:pPr>
              <w:pStyle w:val="134"/>
              <w:spacing w:line="560" w:lineRule="exact"/>
              <w:textAlignment w:val="center"/>
              <w:rPr>
                <w:rFonts w:ascii="方正仿宋_GBK" w:hAnsi="方正仿宋_GBK" w:eastAsia="方正仿宋_GBK" w:cs="方正仿宋_GBK"/>
                <w:kern w:val="0"/>
                <w:sz w:val="24"/>
                <w:szCs w:val="24"/>
              </w:rPr>
            </w:pPr>
          </w:p>
        </w:tc>
        <w:tc>
          <w:tcPr>
            <w:tcW w:w="1506" w:type="dxa"/>
            <w:vAlign w:val="center"/>
          </w:tcPr>
          <w:p>
            <w:pPr>
              <w:pStyle w:val="134"/>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女宿管</w:t>
            </w:r>
          </w:p>
        </w:tc>
        <w:tc>
          <w:tcPr>
            <w:tcW w:w="1177"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00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62" w:type="dxa"/>
            <w:vAlign w:val="center"/>
          </w:tcPr>
          <w:p>
            <w:pPr>
              <w:pStyle w:val="134"/>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10</w:t>
            </w:r>
          </w:p>
        </w:tc>
        <w:tc>
          <w:tcPr>
            <w:tcW w:w="1506" w:type="dxa"/>
            <w:vAlign w:val="center"/>
          </w:tcPr>
          <w:p>
            <w:pPr>
              <w:pStyle w:val="134"/>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洋河</w:t>
            </w:r>
          </w:p>
        </w:tc>
        <w:tc>
          <w:tcPr>
            <w:tcW w:w="1506" w:type="dxa"/>
            <w:vAlign w:val="center"/>
          </w:tcPr>
          <w:p>
            <w:pPr>
              <w:pStyle w:val="134"/>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水电工</w:t>
            </w:r>
          </w:p>
        </w:tc>
        <w:tc>
          <w:tcPr>
            <w:tcW w:w="1177" w:type="dxa"/>
            <w:vAlign w:val="center"/>
          </w:tcPr>
          <w:p>
            <w:pPr>
              <w:pStyle w:val="134"/>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w:t>
            </w:r>
          </w:p>
        </w:tc>
        <w:tc>
          <w:tcPr>
            <w:tcW w:w="200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134"/>
              <w:spacing w:line="560" w:lineRule="exact"/>
              <w:jc w:val="center"/>
              <w:textAlignment w:val="center"/>
              <w:rPr>
                <w:rFonts w:ascii="方正仿宋_GBK" w:hAnsi="方正仿宋_GBK" w:eastAsia="方正仿宋_GBK" w:cs="方正仿宋_GBK"/>
                <w:sz w:val="24"/>
                <w:szCs w:val="24"/>
                <w:highlight w:val="green"/>
              </w:rPr>
            </w:pPr>
            <w:r>
              <w:rPr>
                <w:rFonts w:hint="eastAsia" w:ascii="方正仿宋_GBK" w:hAnsi="方正仿宋_GBK" w:eastAsia="方正仿宋_GBK" w:cs="方正仿宋_GBK"/>
                <w:kern w:val="0"/>
                <w:sz w:val="24"/>
                <w:szCs w:val="24"/>
                <w:highlight w:val="green"/>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62" w:type="dxa"/>
            <w:vAlign w:val="center"/>
          </w:tcPr>
          <w:p>
            <w:pPr>
              <w:pStyle w:val="134"/>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11</w:t>
            </w:r>
          </w:p>
        </w:tc>
        <w:tc>
          <w:tcPr>
            <w:tcW w:w="1506" w:type="dxa"/>
            <w:vAlign w:val="center"/>
          </w:tcPr>
          <w:p>
            <w:pPr>
              <w:pStyle w:val="134"/>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仓集</w:t>
            </w:r>
          </w:p>
        </w:tc>
        <w:tc>
          <w:tcPr>
            <w:tcW w:w="1506" w:type="dxa"/>
            <w:vAlign w:val="center"/>
          </w:tcPr>
          <w:p>
            <w:pPr>
              <w:pStyle w:val="134"/>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水电工</w:t>
            </w:r>
          </w:p>
        </w:tc>
        <w:tc>
          <w:tcPr>
            <w:tcW w:w="1177" w:type="dxa"/>
            <w:vAlign w:val="center"/>
          </w:tcPr>
          <w:p>
            <w:pPr>
              <w:pStyle w:val="134"/>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w:t>
            </w:r>
          </w:p>
        </w:tc>
        <w:tc>
          <w:tcPr>
            <w:tcW w:w="200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134"/>
              <w:spacing w:line="560" w:lineRule="exact"/>
              <w:jc w:val="center"/>
              <w:textAlignment w:val="center"/>
              <w:rPr>
                <w:rFonts w:ascii="方正仿宋_GBK" w:hAnsi="方正仿宋_GBK" w:eastAsia="方正仿宋_GBK" w:cs="方正仿宋_GBK"/>
                <w:sz w:val="24"/>
                <w:szCs w:val="24"/>
                <w:highlight w:val="green"/>
              </w:rPr>
            </w:pPr>
            <w:r>
              <w:rPr>
                <w:rFonts w:hint="eastAsia" w:ascii="方正仿宋_GBK" w:hAnsi="方正仿宋_GBK" w:eastAsia="方正仿宋_GBK" w:cs="方正仿宋_GBK"/>
                <w:kern w:val="0"/>
                <w:sz w:val="24"/>
                <w:szCs w:val="24"/>
                <w:highlight w:val="green"/>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62" w:type="dxa"/>
            <w:vAlign w:val="center"/>
          </w:tcPr>
          <w:p>
            <w:pPr>
              <w:pStyle w:val="134"/>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12</w:t>
            </w:r>
          </w:p>
        </w:tc>
        <w:tc>
          <w:tcPr>
            <w:tcW w:w="1506" w:type="dxa"/>
            <w:vAlign w:val="center"/>
          </w:tcPr>
          <w:p>
            <w:pPr>
              <w:pStyle w:val="134"/>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郑楼</w:t>
            </w:r>
          </w:p>
        </w:tc>
        <w:tc>
          <w:tcPr>
            <w:tcW w:w="1506" w:type="dxa"/>
            <w:vAlign w:val="center"/>
          </w:tcPr>
          <w:p>
            <w:pPr>
              <w:pStyle w:val="134"/>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水电工</w:t>
            </w:r>
          </w:p>
        </w:tc>
        <w:tc>
          <w:tcPr>
            <w:tcW w:w="1177" w:type="dxa"/>
            <w:vAlign w:val="center"/>
          </w:tcPr>
          <w:p>
            <w:pPr>
              <w:pStyle w:val="134"/>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w:t>
            </w:r>
          </w:p>
        </w:tc>
        <w:tc>
          <w:tcPr>
            <w:tcW w:w="2008"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55岁以下</w:t>
            </w:r>
          </w:p>
        </w:tc>
        <w:tc>
          <w:tcPr>
            <w:tcW w:w="1298" w:type="dxa"/>
            <w:vAlign w:val="center"/>
          </w:tcPr>
          <w:p>
            <w:pPr>
              <w:pStyle w:val="134"/>
              <w:spacing w:line="560" w:lineRule="exact"/>
              <w:jc w:val="center"/>
              <w:textAlignment w:val="center"/>
              <w:rPr>
                <w:rFonts w:ascii="方正仿宋_GBK" w:hAnsi="方正仿宋_GBK" w:eastAsia="方正仿宋_GBK" w:cs="方正仿宋_GBK"/>
                <w:sz w:val="24"/>
                <w:szCs w:val="24"/>
                <w:highlight w:val="green"/>
              </w:rPr>
            </w:pPr>
            <w:r>
              <w:rPr>
                <w:rFonts w:hint="eastAsia" w:ascii="方正仿宋_GBK" w:hAnsi="方正仿宋_GBK" w:eastAsia="方正仿宋_GBK" w:cs="方正仿宋_GBK"/>
                <w:kern w:val="0"/>
                <w:sz w:val="24"/>
                <w:szCs w:val="24"/>
                <w:highlight w:val="green"/>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62"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13</w:t>
            </w:r>
          </w:p>
        </w:tc>
        <w:tc>
          <w:tcPr>
            <w:tcW w:w="1506" w:type="dxa"/>
            <w:vAlign w:val="center"/>
          </w:tcPr>
          <w:p>
            <w:pPr>
              <w:pStyle w:val="134"/>
              <w:spacing w:line="560" w:lineRule="exact"/>
              <w:textAlignment w:val="center"/>
              <w:rPr>
                <w:rFonts w:ascii="方正仿宋_GBK" w:hAnsi="方正仿宋_GBK" w:eastAsia="方正仿宋_GBK" w:cs="方正仿宋_GBK"/>
                <w:kern w:val="0"/>
                <w:sz w:val="24"/>
                <w:szCs w:val="24"/>
              </w:rPr>
            </w:pPr>
          </w:p>
        </w:tc>
        <w:tc>
          <w:tcPr>
            <w:tcW w:w="1506" w:type="dxa"/>
            <w:vAlign w:val="center"/>
          </w:tcPr>
          <w:p>
            <w:pPr>
              <w:pStyle w:val="134"/>
              <w:spacing w:line="560" w:lineRule="exac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其他</w:t>
            </w:r>
          </w:p>
        </w:tc>
        <w:tc>
          <w:tcPr>
            <w:tcW w:w="4483" w:type="dxa"/>
            <w:gridSpan w:val="3"/>
            <w:vAlign w:val="center"/>
          </w:tcPr>
          <w:p>
            <w:pPr>
              <w:pStyle w:val="134"/>
              <w:spacing w:line="56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保洁工具等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362" w:type="dxa"/>
            <w:vAlign w:val="center"/>
          </w:tcPr>
          <w:p>
            <w:pPr>
              <w:pStyle w:val="134"/>
              <w:spacing w:line="56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合计</w:t>
            </w:r>
          </w:p>
        </w:tc>
        <w:tc>
          <w:tcPr>
            <w:tcW w:w="1506" w:type="dxa"/>
            <w:vAlign w:val="center"/>
          </w:tcPr>
          <w:p>
            <w:pPr>
              <w:pStyle w:val="134"/>
              <w:spacing w:line="560" w:lineRule="exact"/>
              <w:jc w:val="center"/>
              <w:rPr>
                <w:rFonts w:ascii="方正仿宋_GBK" w:hAnsi="方正仿宋_GBK" w:eastAsia="方正仿宋_GBK" w:cs="方正仿宋_GBK"/>
                <w:sz w:val="24"/>
                <w:szCs w:val="24"/>
              </w:rPr>
            </w:pPr>
          </w:p>
        </w:tc>
        <w:tc>
          <w:tcPr>
            <w:tcW w:w="1506" w:type="dxa"/>
            <w:vAlign w:val="center"/>
          </w:tcPr>
          <w:p>
            <w:pPr>
              <w:pStyle w:val="134"/>
              <w:spacing w:line="560" w:lineRule="exact"/>
              <w:jc w:val="center"/>
              <w:rPr>
                <w:rFonts w:ascii="方正仿宋_GBK" w:hAnsi="方正仿宋_GBK" w:eastAsia="方正仿宋_GBK" w:cs="方正仿宋_GBK"/>
                <w:sz w:val="24"/>
                <w:szCs w:val="24"/>
              </w:rPr>
            </w:pPr>
          </w:p>
        </w:tc>
        <w:tc>
          <w:tcPr>
            <w:tcW w:w="1177" w:type="dxa"/>
            <w:vAlign w:val="center"/>
          </w:tcPr>
          <w:p>
            <w:pPr>
              <w:pStyle w:val="134"/>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61</w:t>
            </w:r>
          </w:p>
        </w:tc>
        <w:tc>
          <w:tcPr>
            <w:tcW w:w="2008" w:type="dxa"/>
            <w:vAlign w:val="center"/>
          </w:tcPr>
          <w:p>
            <w:pPr>
              <w:pStyle w:val="134"/>
              <w:spacing w:line="560" w:lineRule="exact"/>
              <w:jc w:val="center"/>
              <w:rPr>
                <w:rFonts w:ascii="方正仿宋_GBK" w:hAnsi="方正仿宋_GBK" w:eastAsia="方正仿宋_GBK" w:cs="方正仿宋_GBK"/>
                <w:sz w:val="24"/>
                <w:szCs w:val="24"/>
              </w:rPr>
            </w:pPr>
          </w:p>
        </w:tc>
        <w:tc>
          <w:tcPr>
            <w:tcW w:w="1298" w:type="dxa"/>
            <w:vAlign w:val="center"/>
          </w:tcPr>
          <w:p>
            <w:pPr>
              <w:pStyle w:val="134"/>
              <w:spacing w:line="560" w:lineRule="exact"/>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857" w:type="dxa"/>
            <w:gridSpan w:val="6"/>
            <w:vAlign w:val="center"/>
          </w:tcPr>
          <w:p>
            <w:pPr>
              <w:pStyle w:val="134"/>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1、以上人员年龄，均以身份证为准。</w:t>
            </w:r>
          </w:p>
          <w:p>
            <w:pPr>
              <w:pStyle w:val="134"/>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2、以上人员均统一着装，挂牌上岗，仪表整洁规范，做到文明服务、优质服务。</w:t>
            </w:r>
          </w:p>
          <w:p>
            <w:pPr>
              <w:pStyle w:val="134"/>
              <w:widowControl/>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3、中标人在</w:t>
            </w:r>
            <w:r>
              <w:rPr>
                <w:rFonts w:hint="eastAsia" w:ascii="方正仿宋_GBK" w:hAnsi="方正仿宋_GBK" w:eastAsia="方正仿宋_GBK" w:cs="方正仿宋_GBK"/>
                <w:sz w:val="24"/>
                <w:szCs w:val="24"/>
              </w:rPr>
              <w:t>中标</w:t>
            </w:r>
            <w:r>
              <w:rPr>
                <w:rFonts w:hint="eastAsia" w:ascii="方正仿宋_GBK" w:hAnsi="方正仿宋_GBK" w:eastAsia="方正仿宋_GBK" w:cs="方正仿宋_GBK"/>
                <w:kern w:val="0"/>
                <w:sz w:val="24"/>
                <w:szCs w:val="24"/>
              </w:rPr>
              <w:t>后，应按招标文件要求配备以上人员，并经采购单位认可后进场。</w:t>
            </w:r>
          </w:p>
          <w:p>
            <w:pPr>
              <w:pStyle w:val="134"/>
              <w:spacing w:line="560" w:lineRule="exac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4、投标人提供管理服务人员不得少于61人，且身体健康，无犯罪记录，上岗前均须有健康证，无重大疾病和传染病（甲方将有专人查验）。以上人员中有一人兼项目负责人职务。</w:t>
            </w:r>
          </w:p>
          <w:p>
            <w:pPr>
              <w:pStyle w:val="136"/>
              <w:spacing w:line="560" w:lineRule="exact"/>
              <w:jc w:val="left"/>
              <w:rPr>
                <w:rFonts w:ascii="方正仿宋_GBK" w:hAnsi="方正仿宋_GBK" w:eastAsia="方正仿宋_GBK" w:cs="方正仿宋_GBK"/>
                <w:sz w:val="24"/>
              </w:rPr>
            </w:pPr>
            <w:r>
              <w:rPr>
                <w:rFonts w:hint="eastAsia" w:ascii="方正仿宋_GBK" w:hAnsi="方正仿宋_GBK" w:eastAsia="方正仿宋_GBK" w:cs="方正仿宋_GBK"/>
                <w:kern w:val="0"/>
                <w:sz w:val="24"/>
              </w:rPr>
              <w:t>5、所有服务人员的人员工资不得低于宿迁市最低工资标准，提供明细报价表中应含人员工资明细。</w:t>
            </w:r>
          </w:p>
        </w:tc>
      </w:tr>
    </w:tbl>
    <w:p>
      <w:pPr>
        <w:pStyle w:val="153"/>
        <w:spacing w:line="56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2、服务要求</w:t>
      </w:r>
    </w:p>
    <w:tbl>
      <w:tblPr>
        <w:tblStyle w:val="43"/>
        <w:tblW w:w="8775" w:type="dxa"/>
        <w:tblInd w:w="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950"/>
        <w:gridCol w:w="5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588" w:type="dxa"/>
            <w:tcBorders>
              <w:top w:val="single" w:color="auto" w:sz="4" w:space="0"/>
              <w:left w:val="single" w:color="auto" w:sz="4" w:space="0"/>
              <w:bottom w:val="single" w:color="auto" w:sz="4" w:space="0"/>
              <w:right w:val="single" w:color="auto" w:sz="4" w:space="0"/>
            </w:tcBorders>
            <w:vAlign w:val="center"/>
          </w:tcPr>
          <w:p>
            <w:pPr>
              <w:pStyle w:val="132"/>
              <w:spacing w:line="560" w:lineRule="exac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名称</w:t>
            </w:r>
          </w:p>
        </w:tc>
        <w:tc>
          <w:tcPr>
            <w:tcW w:w="1950" w:type="dxa"/>
            <w:tcBorders>
              <w:top w:val="single" w:color="auto" w:sz="4" w:space="0"/>
              <w:left w:val="single" w:color="auto" w:sz="4" w:space="0"/>
              <w:bottom w:val="single" w:color="auto" w:sz="4" w:space="0"/>
              <w:right w:val="single" w:color="auto" w:sz="4" w:space="0"/>
            </w:tcBorders>
            <w:vAlign w:val="center"/>
          </w:tcPr>
          <w:p>
            <w:pPr>
              <w:pStyle w:val="132"/>
              <w:snapToGrid w:val="0"/>
              <w:spacing w:line="560" w:lineRule="exac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区域划分</w:t>
            </w:r>
          </w:p>
        </w:tc>
        <w:tc>
          <w:tcPr>
            <w:tcW w:w="5237" w:type="dxa"/>
            <w:tcBorders>
              <w:top w:val="single" w:color="auto" w:sz="4" w:space="0"/>
              <w:left w:val="single" w:color="auto" w:sz="4" w:space="0"/>
              <w:bottom w:val="single" w:color="auto" w:sz="4" w:space="0"/>
              <w:right w:val="single" w:color="auto" w:sz="4" w:space="0"/>
            </w:tcBorders>
            <w:vAlign w:val="center"/>
          </w:tcPr>
          <w:p>
            <w:pPr>
              <w:pStyle w:val="132"/>
              <w:snapToGrid w:val="0"/>
              <w:spacing w:line="560" w:lineRule="exact"/>
              <w:ind w:firstLine="480" w:firstLineChars="200"/>
              <w:jc w:val="center"/>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88" w:type="dxa"/>
            <w:tcBorders>
              <w:top w:val="single" w:color="auto" w:sz="4" w:space="0"/>
              <w:left w:val="single" w:color="auto" w:sz="4" w:space="0"/>
              <w:bottom w:val="single" w:color="auto" w:sz="4" w:space="0"/>
              <w:right w:val="single" w:color="auto" w:sz="4" w:space="0"/>
            </w:tcBorders>
            <w:vAlign w:val="center"/>
          </w:tcPr>
          <w:p>
            <w:pPr>
              <w:pStyle w:val="132"/>
              <w:snapToGrid w:val="0"/>
              <w:spacing w:line="560" w:lineRule="exac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项目负责人</w:t>
            </w:r>
          </w:p>
        </w:tc>
        <w:tc>
          <w:tcPr>
            <w:tcW w:w="1950" w:type="dxa"/>
            <w:tcBorders>
              <w:top w:val="single" w:color="auto" w:sz="4" w:space="0"/>
              <w:left w:val="single" w:color="auto" w:sz="4" w:space="0"/>
              <w:bottom w:val="single" w:color="auto" w:sz="4" w:space="0"/>
              <w:right w:val="single" w:color="auto" w:sz="4" w:space="0"/>
            </w:tcBorders>
            <w:vAlign w:val="center"/>
          </w:tcPr>
          <w:p>
            <w:pPr>
              <w:pStyle w:val="132"/>
              <w:snapToGrid w:val="0"/>
              <w:spacing w:line="560" w:lineRule="exac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所有卫生区域</w:t>
            </w:r>
          </w:p>
        </w:tc>
        <w:tc>
          <w:tcPr>
            <w:tcW w:w="5237" w:type="dxa"/>
            <w:tcBorders>
              <w:top w:val="single" w:color="auto" w:sz="4" w:space="0"/>
              <w:left w:val="single" w:color="auto" w:sz="4" w:space="0"/>
              <w:bottom w:val="single" w:color="auto" w:sz="4" w:space="0"/>
              <w:right w:val="single" w:color="auto" w:sz="4" w:space="0"/>
            </w:tcBorders>
            <w:vAlign w:val="center"/>
          </w:tcPr>
          <w:p>
            <w:pPr>
              <w:pStyle w:val="132"/>
              <w:snapToGrid w:val="0"/>
              <w:spacing w:line="560" w:lineRule="exact"/>
              <w:jc w:val="lef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负责全面管理工作。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4" w:hRule="atLeast"/>
        </w:trPr>
        <w:tc>
          <w:tcPr>
            <w:tcW w:w="1588" w:type="dxa"/>
            <w:vMerge w:val="restart"/>
            <w:tcBorders>
              <w:left w:val="single" w:color="auto" w:sz="4" w:space="0"/>
              <w:right w:val="single" w:color="auto" w:sz="4" w:space="0"/>
            </w:tcBorders>
            <w:vAlign w:val="center"/>
          </w:tcPr>
          <w:p>
            <w:pPr>
              <w:pStyle w:val="132"/>
              <w:snapToGrid w:val="0"/>
              <w:spacing w:line="560" w:lineRule="exac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保洁人员</w:t>
            </w:r>
          </w:p>
        </w:tc>
        <w:tc>
          <w:tcPr>
            <w:tcW w:w="1950" w:type="dxa"/>
            <w:tcBorders>
              <w:top w:val="single" w:color="auto" w:sz="4" w:space="0"/>
              <w:left w:val="single" w:color="auto" w:sz="4" w:space="0"/>
              <w:bottom w:val="single" w:color="auto" w:sz="4" w:space="0"/>
              <w:right w:val="single" w:color="auto" w:sz="4" w:space="0"/>
            </w:tcBorders>
            <w:vAlign w:val="center"/>
          </w:tcPr>
          <w:p>
            <w:pPr>
              <w:pStyle w:val="132"/>
              <w:snapToGrid w:val="0"/>
              <w:spacing w:line="560" w:lineRule="exac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行政楼</w:t>
            </w:r>
          </w:p>
        </w:tc>
        <w:tc>
          <w:tcPr>
            <w:tcW w:w="5237" w:type="dxa"/>
            <w:tcBorders>
              <w:top w:val="single" w:color="auto" w:sz="4" w:space="0"/>
              <w:left w:val="single" w:color="auto" w:sz="4" w:space="0"/>
              <w:bottom w:val="single" w:color="auto" w:sz="4" w:space="0"/>
              <w:right w:val="single" w:color="auto" w:sz="4" w:space="0"/>
            </w:tcBorders>
            <w:vAlign w:val="center"/>
          </w:tcPr>
          <w:p>
            <w:pPr>
              <w:pStyle w:val="132"/>
              <w:snapToGrid w:val="0"/>
              <w:spacing w:line="560" w:lineRule="exact"/>
              <w:jc w:val="lef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负责公共走道、楼道、楼梯扶手、玻璃门窗、校长室、会议室、卫生间等的保洁。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trPr>
        <w:tc>
          <w:tcPr>
            <w:tcW w:w="1588" w:type="dxa"/>
            <w:vMerge w:val="continue"/>
            <w:tcBorders>
              <w:left w:val="single" w:color="auto" w:sz="4" w:space="0"/>
              <w:right w:val="single" w:color="auto" w:sz="4" w:space="0"/>
            </w:tcBorders>
            <w:vAlign w:val="center"/>
          </w:tcPr>
          <w:p>
            <w:pPr>
              <w:pStyle w:val="132"/>
              <w:snapToGrid w:val="0"/>
              <w:spacing w:line="560" w:lineRule="exact"/>
              <w:ind w:firstLine="480" w:firstLineChars="200"/>
              <w:jc w:val="center"/>
              <w:rPr>
                <w:rFonts w:ascii="方正仿宋_GBK" w:hAnsi="方正仿宋_GBK" w:eastAsia="方正仿宋_GBK" w:cs="方正仿宋_GBK"/>
                <w:kern w:val="2"/>
                <w:sz w:val="24"/>
              </w:rPr>
            </w:pPr>
          </w:p>
        </w:tc>
        <w:tc>
          <w:tcPr>
            <w:tcW w:w="1950" w:type="dxa"/>
            <w:vAlign w:val="center"/>
          </w:tcPr>
          <w:p>
            <w:pPr>
              <w:pStyle w:val="132"/>
              <w:snapToGrid w:val="0"/>
              <w:spacing w:line="560" w:lineRule="exac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教学楼</w:t>
            </w:r>
          </w:p>
        </w:tc>
        <w:tc>
          <w:tcPr>
            <w:tcW w:w="5237" w:type="dxa"/>
          </w:tcPr>
          <w:p>
            <w:pPr>
              <w:pStyle w:val="132"/>
              <w:snapToGrid w:val="0"/>
              <w:spacing w:line="560" w:lineRule="exac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负责所有教学楼的所有卫生间的保洁；公共走道、楼道、楼梯扶手、玻璃门窗、会议室保洁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88" w:type="dxa"/>
            <w:vMerge w:val="continue"/>
            <w:tcBorders>
              <w:left w:val="single" w:color="auto" w:sz="4" w:space="0"/>
              <w:right w:val="single" w:color="auto" w:sz="4" w:space="0"/>
            </w:tcBorders>
            <w:vAlign w:val="center"/>
          </w:tcPr>
          <w:p>
            <w:pPr>
              <w:pStyle w:val="132"/>
              <w:snapToGrid w:val="0"/>
              <w:spacing w:line="560" w:lineRule="exact"/>
              <w:ind w:firstLine="480" w:firstLineChars="200"/>
              <w:jc w:val="center"/>
              <w:rPr>
                <w:rFonts w:ascii="方正仿宋_GBK" w:hAnsi="方正仿宋_GBK" w:eastAsia="方正仿宋_GBK" w:cs="方正仿宋_GBK"/>
                <w:kern w:val="2"/>
                <w:sz w:val="24"/>
              </w:rPr>
            </w:pPr>
          </w:p>
        </w:tc>
        <w:tc>
          <w:tcPr>
            <w:tcW w:w="1950" w:type="dxa"/>
            <w:vAlign w:val="center"/>
          </w:tcPr>
          <w:p>
            <w:pPr>
              <w:pStyle w:val="132"/>
              <w:snapToGrid w:val="0"/>
              <w:spacing w:line="560" w:lineRule="exac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校园保洁</w:t>
            </w:r>
          </w:p>
        </w:tc>
        <w:tc>
          <w:tcPr>
            <w:tcW w:w="5237" w:type="dxa"/>
            <w:vAlign w:val="center"/>
          </w:tcPr>
          <w:p>
            <w:pPr>
              <w:pStyle w:val="132"/>
              <w:snapToGrid w:val="0"/>
              <w:spacing w:line="560" w:lineRule="exact"/>
              <w:jc w:val="lef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校园所有路面、运动场（食堂除外）、绿化带等清扫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588" w:type="dxa"/>
            <w:vMerge w:val="continue"/>
            <w:tcBorders>
              <w:left w:val="single" w:color="auto" w:sz="4" w:space="0"/>
              <w:right w:val="single" w:color="auto" w:sz="4" w:space="0"/>
            </w:tcBorders>
            <w:vAlign w:val="center"/>
          </w:tcPr>
          <w:p>
            <w:pPr>
              <w:pStyle w:val="132"/>
              <w:snapToGrid w:val="0"/>
              <w:spacing w:line="560" w:lineRule="exact"/>
              <w:ind w:firstLine="480" w:firstLineChars="200"/>
              <w:jc w:val="center"/>
              <w:rPr>
                <w:rFonts w:ascii="方正仿宋_GBK" w:hAnsi="方正仿宋_GBK" w:eastAsia="方正仿宋_GBK" w:cs="方正仿宋_GBK"/>
                <w:kern w:val="2"/>
                <w:sz w:val="24"/>
              </w:rPr>
            </w:pPr>
          </w:p>
        </w:tc>
        <w:tc>
          <w:tcPr>
            <w:tcW w:w="1950" w:type="dxa"/>
            <w:vAlign w:val="center"/>
          </w:tcPr>
          <w:p>
            <w:pPr>
              <w:pStyle w:val="132"/>
              <w:snapToGrid w:val="0"/>
              <w:spacing w:line="560" w:lineRule="exact"/>
              <w:jc w:val="lef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校园公共厕所</w:t>
            </w:r>
          </w:p>
        </w:tc>
        <w:tc>
          <w:tcPr>
            <w:tcW w:w="5237" w:type="dxa"/>
            <w:vAlign w:val="center"/>
          </w:tcPr>
          <w:p>
            <w:pPr>
              <w:pStyle w:val="132"/>
              <w:snapToGrid w:val="0"/>
              <w:spacing w:line="560" w:lineRule="exact"/>
              <w:jc w:val="lef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负责校园公共厕所的保洁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trPr>
        <w:tc>
          <w:tcPr>
            <w:tcW w:w="1588" w:type="dxa"/>
            <w:vMerge w:val="continue"/>
            <w:tcBorders>
              <w:left w:val="single" w:color="auto" w:sz="4" w:space="0"/>
              <w:right w:val="single" w:color="auto" w:sz="4" w:space="0"/>
            </w:tcBorders>
            <w:vAlign w:val="center"/>
          </w:tcPr>
          <w:p>
            <w:pPr>
              <w:pStyle w:val="132"/>
              <w:snapToGrid w:val="0"/>
              <w:spacing w:line="560" w:lineRule="exact"/>
              <w:ind w:firstLine="480" w:firstLineChars="200"/>
              <w:jc w:val="center"/>
              <w:rPr>
                <w:rFonts w:ascii="方正仿宋_GBK" w:hAnsi="方正仿宋_GBK" w:eastAsia="方正仿宋_GBK" w:cs="方正仿宋_GBK"/>
                <w:kern w:val="2"/>
                <w:sz w:val="24"/>
              </w:rPr>
            </w:pPr>
          </w:p>
        </w:tc>
        <w:tc>
          <w:tcPr>
            <w:tcW w:w="1950" w:type="dxa"/>
            <w:vAlign w:val="center"/>
          </w:tcPr>
          <w:p>
            <w:pPr>
              <w:pStyle w:val="132"/>
              <w:snapToGrid w:val="0"/>
              <w:spacing w:line="560" w:lineRule="exact"/>
              <w:jc w:val="lef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垃圾清运</w:t>
            </w:r>
          </w:p>
        </w:tc>
        <w:tc>
          <w:tcPr>
            <w:tcW w:w="5237" w:type="dxa"/>
            <w:vAlign w:val="center"/>
          </w:tcPr>
          <w:p>
            <w:pPr>
              <w:pStyle w:val="132"/>
              <w:snapToGrid w:val="0"/>
              <w:spacing w:line="560" w:lineRule="exact"/>
              <w:jc w:val="lef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负责校园内垃圾清运以及垃圾桶的清洁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3" w:hRule="atLeast"/>
        </w:trPr>
        <w:tc>
          <w:tcPr>
            <w:tcW w:w="1588" w:type="dxa"/>
            <w:vMerge w:val="restart"/>
            <w:vAlign w:val="center"/>
          </w:tcPr>
          <w:p>
            <w:pPr>
              <w:pStyle w:val="132"/>
              <w:snapToGrid w:val="0"/>
              <w:spacing w:line="560" w:lineRule="exac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宿舍管理员</w:t>
            </w:r>
          </w:p>
        </w:tc>
        <w:tc>
          <w:tcPr>
            <w:tcW w:w="1950" w:type="dxa"/>
            <w:vAlign w:val="center"/>
          </w:tcPr>
          <w:p>
            <w:pPr>
              <w:pStyle w:val="132"/>
              <w:snapToGrid w:val="0"/>
              <w:spacing w:line="560" w:lineRule="exact"/>
              <w:jc w:val="lef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男生宿舍</w:t>
            </w:r>
          </w:p>
        </w:tc>
        <w:tc>
          <w:tcPr>
            <w:tcW w:w="5237" w:type="dxa"/>
            <w:vAlign w:val="center"/>
          </w:tcPr>
          <w:p>
            <w:pPr>
              <w:pStyle w:val="132"/>
              <w:snapToGrid w:val="0"/>
              <w:spacing w:line="560" w:lineRule="exact"/>
              <w:jc w:val="lef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负责男生宿舍楼管理工作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588" w:type="dxa"/>
            <w:vMerge w:val="continue"/>
            <w:vAlign w:val="center"/>
          </w:tcPr>
          <w:p>
            <w:pPr>
              <w:pStyle w:val="132"/>
              <w:snapToGrid w:val="0"/>
              <w:spacing w:line="560" w:lineRule="exact"/>
              <w:ind w:firstLine="480" w:firstLineChars="200"/>
              <w:rPr>
                <w:rFonts w:ascii="方正仿宋_GBK" w:hAnsi="方正仿宋_GBK" w:eastAsia="方正仿宋_GBK" w:cs="方正仿宋_GBK"/>
                <w:kern w:val="2"/>
                <w:sz w:val="24"/>
              </w:rPr>
            </w:pPr>
          </w:p>
        </w:tc>
        <w:tc>
          <w:tcPr>
            <w:tcW w:w="1950" w:type="dxa"/>
            <w:vAlign w:val="center"/>
          </w:tcPr>
          <w:p>
            <w:pPr>
              <w:pStyle w:val="132"/>
              <w:snapToGrid w:val="0"/>
              <w:spacing w:line="560" w:lineRule="exact"/>
              <w:jc w:val="lef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女生宿舍</w:t>
            </w:r>
          </w:p>
        </w:tc>
        <w:tc>
          <w:tcPr>
            <w:tcW w:w="5237" w:type="dxa"/>
            <w:vAlign w:val="center"/>
          </w:tcPr>
          <w:p>
            <w:pPr>
              <w:pStyle w:val="132"/>
              <w:snapToGrid w:val="0"/>
              <w:spacing w:line="560" w:lineRule="exact"/>
              <w:jc w:val="lef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负责女生宿舍楼管理工作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588" w:type="dxa"/>
            <w:vAlign w:val="center"/>
          </w:tcPr>
          <w:p>
            <w:pPr>
              <w:pStyle w:val="132"/>
              <w:widowControl/>
              <w:spacing w:line="560" w:lineRule="exact"/>
              <w:textAlignment w:val="center"/>
              <w:rPr>
                <w:rFonts w:ascii="方正仿宋_GBK" w:hAnsi="方正仿宋_GBK" w:eastAsia="方正仿宋_GBK" w:cs="方正仿宋_GBK"/>
                <w:kern w:val="2"/>
                <w:sz w:val="24"/>
              </w:rPr>
            </w:pPr>
            <w:r>
              <w:rPr>
                <w:rFonts w:hint="eastAsia" w:ascii="方正仿宋_GBK" w:hAnsi="方正仿宋_GBK" w:eastAsia="方正仿宋_GBK" w:cs="方正仿宋_GBK"/>
                <w:sz w:val="24"/>
              </w:rPr>
              <w:t>水电工</w:t>
            </w:r>
          </w:p>
        </w:tc>
        <w:tc>
          <w:tcPr>
            <w:tcW w:w="1950" w:type="dxa"/>
            <w:vAlign w:val="center"/>
          </w:tcPr>
          <w:p>
            <w:pPr>
              <w:pStyle w:val="132"/>
              <w:snapToGrid w:val="0"/>
              <w:spacing w:line="560" w:lineRule="exact"/>
              <w:jc w:val="lef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水电和空调维修</w:t>
            </w:r>
          </w:p>
        </w:tc>
        <w:tc>
          <w:tcPr>
            <w:tcW w:w="5237" w:type="dxa"/>
          </w:tcPr>
          <w:p>
            <w:pPr>
              <w:pStyle w:val="132"/>
              <w:snapToGrid w:val="0"/>
              <w:spacing w:line="560" w:lineRule="exact"/>
              <w:jc w:val="lef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校园自来水（管）维护，水龙头、延时阀、下水管等维修更换，大小便池疏通、空调维修、电力维修改造、变电房维保等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9" w:hRule="atLeast"/>
        </w:trPr>
        <w:tc>
          <w:tcPr>
            <w:tcW w:w="8775" w:type="dxa"/>
            <w:gridSpan w:val="3"/>
            <w:vAlign w:val="center"/>
          </w:tcPr>
          <w:p>
            <w:pPr>
              <w:pStyle w:val="132"/>
              <w:snapToGrid w:val="0"/>
              <w:spacing w:line="560" w:lineRule="exact"/>
              <w:jc w:val="lef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注：1.中标人负责校园内消防业务指导；</w:t>
            </w:r>
          </w:p>
          <w:p>
            <w:pPr>
              <w:pStyle w:val="132"/>
              <w:snapToGrid w:val="0"/>
              <w:spacing w:line="560" w:lineRule="exact"/>
              <w:jc w:val="left"/>
              <w:rPr>
                <w:rFonts w:ascii="方正仿宋_GBK" w:hAnsi="方正仿宋_GBK" w:eastAsia="方正仿宋_GBK" w:cs="方正仿宋_GBK"/>
                <w:kern w:val="2"/>
                <w:sz w:val="24"/>
              </w:rPr>
            </w:pPr>
            <w:r>
              <w:rPr>
                <w:rFonts w:hint="eastAsia" w:ascii="方正仿宋_GBK" w:hAnsi="方正仿宋_GBK" w:eastAsia="方正仿宋_GBK" w:cs="方正仿宋_GBK"/>
                <w:kern w:val="2"/>
                <w:sz w:val="24"/>
              </w:rPr>
              <w:t>2.以上服务范围中标人须按采购单位要求记录并将相关记录材料报采购单位确认。</w:t>
            </w:r>
          </w:p>
        </w:tc>
      </w:tr>
    </w:tbl>
    <w:p>
      <w:pPr>
        <w:pStyle w:val="115"/>
        <w:spacing w:line="560" w:lineRule="exact"/>
        <w:ind w:firstLine="478" w:firstLineChars="200"/>
        <w:rPr>
          <w:rFonts w:ascii="方正仿宋_GBK" w:hAnsi="方正仿宋_GBK" w:eastAsia="方正仿宋_GBK" w:cs="方正仿宋_GBK"/>
          <w:b/>
          <w:bCs/>
          <w:color w:val="auto"/>
          <w:spacing w:val="-1"/>
          <w:szCs w:val="24"/>
        </w:rPr>
      </w:pPr>
      <w:r>
        <w:rPr>
          <w:rFonts w:hint="eastAsia" w:ascii="方正仿宋_GBK" w:hAnsi="方正仿宋_GBK" w:eastAsia="方正仿宋_GBK" w:cs="方正仿宋_GBK"/>
          <w:b/>
          <w:bCs/>
          <w:color w:val="auto"/>
          <w:spacing w:val="-1"/>
          <w:szCs w:val="24"/>
        </w:rPr>
        <w:t>五、合同履行期限：</w:t>
      </w:r>
      <w:r>
        <w:rPr>
          <w:rFonts w:hint="eastAsia" w:ascii="方正仿宋_GBK" w:hAnsi="方正仿宋_GBK" w:eastAsia="方正仿宋_GBK" w:cs="方正仿宋_GBK"/>
          <w:color w:val="auto"/>
          <w:kern w:val="0"/>
          <w:szCs w:val="24"/>
        </w:rPr>
        <w:t>合同生效之日起一年。</w:t>
      </w:r>
    </w:p>
    <w:p>
      <w:pPr>
        <w:pStyle w:val="66"/>
        <w:spacing w:line="560" w:lineRule="exact"/>
        <w:ind w:firstLine="478" w:firstLineChars="200"/>
        <w:rPr>
          <w:rFonts w:ascii="方正仿宋_GBK" w:hAnsi="方正仿宋_GBK" w:eastAsia="方正仿宋_GBK" w:cs="方正仿宋_GBK"/>
          <w:b/>
          <w:bCs/>
          <w:spacing w:val="-1"/>
          <w:sz w:val="24"/>
          <w:szCs w:val="24"/>
        </w:rPr>
      </w:pPr>
      <w:r>
        <w:rPr>
          <w:rFonts w:hint="eastAsia" w:ascii="方正仿宋_GBK" w:hAnsi="方正仿宋_GBK" w:eastAsia="方正仿宋_GBK" w:cs="方正仿宋_GBK"/>
          <w:b/>
          <w:bCs/>
          <w:spacing w:val="-1"/>
          <w:sz w:val="24"/>
          <w:szCs w:val="24"/>
        </w:rPr>
        <w:t>六、服务地点：</w:t>
      </w:r>
      <w:r>
        <w:rPr>
          <w:rFonts w:hint="eastAsia" w:ascii="方正仿宋_GBK" w:hAnsi="方正仿宋_GBK" w:eastAsia="方正仿宋_GBK" w:cs="方正仿宋_GBK"/>
          <w:spacing w:val="-1"/>
          <w:sz w:val="24"/>
          <w:szCs w:val="24"/>
        </w:rPr>
        <w:t>采购单位指定地点。</w:t>
      </w:r>
    </w:p>
    <w:p>
      <w:pPr>
        <w:pStyle w:val="117"/>
        <w:spacing w:line="56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七、付款方式：</w:t>
      </w:r>
    </w:p>
    <w:p>
      <w:pPr>
        <w:spacing w:line="56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white"/>
        </w:rPr>
        <w:t>1、预付款：</w:t>
      </w:r>
      <w:r>
        <w:rPr>
          <w:rFonts w:hint="eastAsia" w:ascii="方正仿宋_GBK" w:hAnsi="方正仿宋_GBK" w:eastAsia="方正仿宋_GBK" w:cs="方正仿宋_GBK"/>
          <w:sz w:val="24"/>
          <w:szCs w:val="24"/>
        </w:rPr>
        <w:t>采购人约定在合同签订后，采购人在接到中标人票据的10个工作日内，支付合同金额的10%作为预付款。</w:t>
      </w:r>
    </w:p>
    <w:p>
      <w:pPr>
        <w:pStyle w:val="103"/>
        <w:spacing w:after="0" w:line="56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white"/>
        </w:rPr>
        <w:t>2、进度款：采购人</w:t>
      </w:r>
      <w:r>
        <w:rPr>
          <w:rFonts w:hint="eastAsia" w:ascii="方正仿宋_GBK" w:hAnsi="方正仿宋_GBK" w:eastAsia="方正仿宋_GBK" w:cs="方正仿宋_GBK"/>
          <w:sz w:val="24"/>
          <w:szCs w:val="24"/>
        </w:rPr>
        <w:t>按季支付物业服务费，中标人按季根据实际发生的所有物业管理（考核后的）费用开具合法票据，并提供工人工资支付凭证，采购人在接受中标人票据和凭证后的10个工作日内将上一季实际发生的所有物业管理（考核后的）费用支付给中标人。</w:t>
      </w:r>
    </w:p>
    <w:p>
      <w:pPr>
        <w:pStyle w:val="103"/>
        <w:spacing w:after="0" w:line="560" w:lineRule="exact"/>
        <w:ind w:firstLine="240" w:firstLineChars="1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color w:val="000000"/>
          <w:sz w:val="24"/>
          <w:szCs w:val="24"/>
          <w:highlight w:val="white"/>
        </w:rPr>
        <w:t>注：在签订合同时，中标人明确表示无需预付款或者主动要求降低预付款比例的金额，采购人可不适用前述规定。</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3、验收要求及标准</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3.1、验收主体：采购人（教育办）。</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3.2、验收时间：由各学校后勤处3名人员组成考核小组，每周进行一次考核，每季度向教育办汇总一次；教育办作为监督管理部门，每季度至少对乙方进行一次不定期抽检考核。教育办在收到以上所有考核表后3个工作日内组织验收并签署验收单。</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3.3、验收标准：以履约期间考核打分表作为验收依据。</w:t>
      </w:r>
    </w:p>
    <w:p>
      <w:pPr>
        <w:pStyle w:val="58"/>
        <w:spacing w:line="560" w:lineRule="exact"/>
        <w:ind w:firstLine="472" w:firstLineChars="200"/>
        <w:rPr>
          <w:rFonts w:ascii="方正仿宋_GBK" w:hAnsi="方正仿宋_GBK" w:eastAsia="方正仿宋_GBK" w:cs="方正仿宋_GBK"/>
          <w:spacing w:val="-2"/>
          <w:kern w:val="0"/>
          <w:sz w:val="24"/>
          <w:szCs w:val="24"/>
        </w:rPr>
      </w:pPr>
      <w:r>
        <w:rPr>
          <w:rFonts w:hint="eastAsia" w:ascii="方正仿宋_GBK" w:hAnsi="方正仿宋_GBK" w:eastAsia="方正仿宋_GBK" w:cs="方正仿宋_GBK"/>
          <w:spacing w:val="-2"/>
          <w:kern w:val="0"/>
          <w:sz w:val="24"/>
          <w:szCs w:val="24"/>
        </w:rPr>
        <w:t>3.4、验收程序、内容及履约：由验收小组按照招标文件、投标文件及考核表对中标人履约情况进行验收。验收结束后，验收单由验收双方共同签署。履约验收的各项资料存档备查。</w:t>
      </w:r>
    </w:p>
    <w:p>
      <w:pPr>
        <w:pStyle w:val="58"/>
        <w:spacing w:line="560" w:lineRule="exact"/>
        <w:ind w:firstLine="47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spacing w:val="-2"/>
          <w:kern w:val="0"/>
          <w:sz w:val="24"/>
          <w:szCs w:val="24"/>
        </w:rPr>
        <w:t>3.5甲方按照验收结果及合同约定的付款节点及时向乙方支付项目款。采购合同的履行、违约责任和解决争议的方式等适用《民法典》。乙方在履约过程中有政府采购法律法规规定的违法违规情形的,甲方将及时报告本级财政部门。</w:t>
      </w:r>
    </w:p>
    <w:p>
      <w:pPr>
        <w:pStyle w:val="172"/>
        <w:spacing w:line="56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八、履约保证金</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 xml:space="preserve"> 本项目不收取履约保证金。</w:t>
      </w:r>
    </w:p>
    <w:p>
      <w:pPr>
        <w:pStyle w:val="138"/>
        <w:spacing w:line="560" w:lineRule="exact"/>
        <w:ind w:firstLine="482" w:firstLineChars="200"/>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 xml:space="preserve"> 九、双方权利与义务</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（一）甲方的权利与义务</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1、审定乙方拟定的物业管理制度、清洁标准、宿舍管理方案等。</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2、检查监督乙方管理服务工作执行情况。发现问题及时提出，直到达到质量标准。</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3、向乙方提供物业管理用房（宿舍值班室），无偿使用。</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4、按合同约定方式及时付款。</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5、配合乙方做好维修工作。</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6、宿舍管理人员在食堂就餐。</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7、假期间的户外劳动</w:t>
      </w:r>
      <w:r>
        <w:rPr>
          <w:rFonts w:hint="eastAsia" w:ascii="方正仿宋_GBK" w:hAnsi="方正仿宋_GBK" w:eastAsia="方正仿宋_GBK" w:cs="方正仿宋_GBK"/>
          <w:bCs/>
          <w:kern w:val="0"/>
          <w:sz w:val="24"/>
          <w:szCs w:val="24"/>
          <w:highlight w:val="green"/>
        </w:rPr>
        <w:t>由</w:t>
      </w:r>
      <w:r>
        <w:rPr>
          <w:rFonts w:hint="eastAsia" w:ascii="方正仿宋_GBK" w:hAnsi="方正仿宋_GBK" w:eastAsia="方正仿宋_GBK" w:cs="方正仿宋_GBK"/>
          <w:bCs/>
          <w:kern w:val="0"/>
          <w:sz w:val="24"/>
          <w:szCs w:val="24"/>
        </w:rPr>
        <w:t>乙方承担。</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8、负责协调乙方与学校教师、学生之间的关系。</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9、听取、采纳乙方在校物业服务方面的合理化建议。</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10、根据乙方保洁人员的工作表现及服务质量，甲方有权要求乙方更换保洁员，乙方须及时更换配置合格服务人员。</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甲方有权对乙方在保洁工作中发生的质量问题给予口头或书面警告，并视情况给予经济处罚。</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12、甲方对乙方提供的保洁服务工作享有监督权和检查权。</w:t>
      </w:r>
    </w:p>
    <w:p>
      <w:pPr>
        <w:pStyle w:val="82"/>
        <w:spacing w:line="560" w:lineRule="exact"/>
        <w:ind w:firstLine="482" w:firstLineChars="200"/>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（二）乙方的权利与义务</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1、乙方工作人员必须具有高品质的职业素养和职业行为规范，工作中需遵纪、守法、勤勉、自律，爱护甲方的一切校产。</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2、乙方保证按甲方工作日要求的时间进行作业（具体时间甲乙双方商定后作为本合同的附件，作业时间随季节变化调整），作业时必须严格遵守学校的各项规章制度。</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3、乙方要安排主管负责人管理本方员工，并与甲方主管物业负责人进行相关工作的协调，保证物业服务工作的顺利进行。</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4、乙方在本公司员工上岗前要对员工进行自身安全及工作安全操作培训。乙方员工在上下班期间及工作中所发生的任何伤害事故，均与甲方无任何责任。</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5、物业服务工作中所需要的各种机械、设备、工具、材料等均由乙方自行解决；为保证服务质量，使用的器具、材料必须符合相关质量标准规定，同时还需严格按照各项工作的工艺流程进行作业。</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6、乙方进校工作人员要统一着装，衣帽整洁，并佩戴物业公司工作证进行作业。乙方不得在甲方服务区域未经甲方同意擅自承揽其他业务。</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7、乙方人员在甲方的每个工作日必须例行物业服务工作。清扫本协议中规定的楼外保洁区域。要求达到干净、明洁、光亮、无异味；蹲坐便、小便池、洗手盆无垢迹；楼梯、扶手、地面、玻璃、窗台、灯具、消防箱等无灰尘；天棚、墙角无蛛网；楼外各垃圾箱及时清理；上、下水管道的畅通；及时解决用电方面的故障；及时处理有关门窗方面出现的问题。</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8、乙方员工应及时制止楼外随地吐痰、乱丢果皮杂物、乱泼污水、焚烧纸物、涂画或污损建筑墙体等不文明行为，督促学生讲究公德，自觉遵守有关管理规定。</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9、节约用水，爱护楼外的公共设施，如发现校各种设施设备，如水龙头、脚踏水阀、各种阀门、灯具等损坏或存在危险时，应及时上报甲方相关部门和人员，并负责及时维修。</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10、乙方应协助校方做好校的管理工作，发现隐患及可疑人员应及时上报甲方有关人员。乙方员工严禁私领非本校人员进入校园及私拿公物出校园，一经发现，甲方有权责令乙方将其调离本岗位。</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11、乙方工作人员将各保洁区域清扫的垃圾集中到甲方指定的地点存放，当天外运，并保持垃圾点周围干净、整洁。</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12、甲方如因临时性工作和特殊情况需要乙方配合时，乙方应服从甲方的调动，并保质保量完成任务。</w:t>
      </w:r>
    </w:p>
    <w:p>
      <w:pPr>
        <w:pStyle w:val="38"/>
        <w:keepNext w:val="0"/>
        <w:keepLines w:val="0"/>
        <w:widowControl/>
        <w:suppressLineNumbers w:val="0"/>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13、</w:t>
      </w:r>
      <w:r>
        <w:rPr>
          <w:rFonts w:hint="eastAsia" w:ascii="方正仿宋_GBK" w:hAnsi="方正仿宋_GBK" w:eastAsia="方正仿宋_GBK" w:cs="方正仿宋_GBK"/>
          <w:bCs/>
          <w:kern w:val="0"/>
          <w:sz w:val="24"/>
          <w:szCs w:val="24"/>
          <w:lang w:val="en-US" w:eastAsia="zh-CN" w:bidi="ar-SA"/>
        </w:rPr>
        <w:t>乙方人员提供外包服务过程中因乙方原因，给甲方或第三方人身或财物造成损害的</w:t>
      </w:r>
      <w:r>
        <w:rPr>
          <w:rFonts w:hint="eastAsia" w:ascii="方正仿宋_GBK" w:hAnsi="方正仿宋_GBK" w:eastAsia="方正仿宋_GBK" w:cs="方正仿宋_GBK"/>
          <w:bCs/>
          <w:kern w:val="0"/>
          <w:sz w:val="24"/>
          <w:szCs w:val="24"/>
        </w:rPr>
        <w:t>，由乙方承担全部赔偿责任。</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14、乙方在承包的保洁工作范围，甲方如因保洁工作未达到保洁质量标准，被相关职能主管部门（如环卫、城管、市容等）查处并处罚，该罚款由乙方承担。</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15、乙方必须符合劳动部门有关用工规定，若发生劳动争议均由乙方自行解决。</w:t>
      </w:r>
    </w:p>
    <w:p>
      <w:pPr>
        <w:pStyle w:val="113"/>
        <w:spacing w:line="560" w:lineRule="exact"/>
        <w:ind w:firstLine="482" w:firstLineChars="200"/>
        <w:rPr>
          <w:rFonts w:ascii="方正仿宋_GBK" w:hAnsi="方正仿宋_GBK" w:eastAsia="方正仿宋_GBK" w:cs="方正仿宋_GBK"/>
          <w:b/>
          <w:kern w:val="0"/>
          <w:sz w:val="24"/>
          <w:szCs w:val="24"/>
        </w:rPr>
      </w:pPr>
      <w:r>
        <w:rPr>
          <w:rFonts w:hint="eastAsia" w:ascii="方正仿宋_GBK" w:hAnsi="方正仿宋_GBK" w:eastAsia="方正仿宋_GBK" w:cs="方正仿宋_GBK"/>
          <w:b/>
          <w:kern w:val="0"/>
          <w:sz w:val="24"/>
          <w:szCs w:val="24"/>
        </w:rPr>
        <w:t>十、甲乙双方其他约定</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1、乙方在用水维修、以及门窗维修时，需更换的构件，由甲方提供或由乙方购买，费用由甲方承担（凭正规发票结算）。</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2、校内污水管道，需及时清掏以保证畅通。</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3、本协议合同履行期限，乙方必须配备具有专业资质的水、门窗维修人员，满足甲方在水维修的需要。</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4、乙方工作人员不享受甲方员工的福利待遇。</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5、非工作期间乙方人员未经允许不得入校。</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6、乙方在保洁工作中未达到保洁的质量标准，经甲方两次警告，仍未达到标准，甲方将以书面形式通知乙方，每发出一次书面限期整改通知，甲方将扣除乙方当月保洁服务费的0．5％－1％作为违约金。质量事故情节严重的每发生一次扣除当月保洁服务费的10%作为违约金。</w:t>
      </w:r>
    </w:p>
    <w:p>
      <w:pPr>
        <w:pStyle w:val="138"/>
        <w:spacing w:line="560" w:lineRule="exact"/>
        <w:ind w:firstLine="482" w:firstLineChars="200"/>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十一、合同变更与终止</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1、本合同规定的履行期限届满，本合同自动终止。</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2、在合同履行过程中，如遇不可抗拒的因素致使本合同无法继续履行时，本合同自动终止。</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3、合同内容变更、提前终止，甲、乙双方须提前书面通知对方，否则按月服务费25％向对方支付违约金。</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4、法律、法规的立废，导致本合同自动终止或解除，双方按本合同实际服务费进行清退。</w:t>
      </w:r>
    </w:p>
    <w:p>
      <w:pPr>
        <w:pStyle w:val="138"/>
        <w:spacing w:line="560" w:lineRule="exact"/>
        <w:ind w:firstLine="482" w:firstLineChars="200"/>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十二、合同变更、解除</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1、乙方严重失职造成甲方物业管理的重大损失或者物业服务没有达到本合同约定的标准的，甲方可以解除合同，并按全部损失（包括间接损失）要求乙方赔偿。</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乙方发生严重质量事故后，除按本合同相关条款约定扣除相应服务费用外，在收到甲方书面整改通知一个月仍不能采取补救措施及行动，甲方可以解除合同。</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3、乙方破产或明显出现资不抵债的情况或一方丧失履行本合同的能力，以及不包括其他原因要求中途解除本合同，必须提前30天以书面形式向对方说明告知。</w:t>
      </w:r>
    </w:p>
    <w:p>
      <w:pPr>
        <w:pStyle w:val="148"/>
        <w:spacing w:line="560" w:lineRule="exact"/>
        <w:ind w:firstLine="482" w:firstLineChars="200"/>
        <w:rPr>
          <w:rFonts w:ascii="方正仿宋_GBK" w:hAnsi="方正仿宋_GBK" w:eastAsia="方正仿宋_GBK" w:cs="方正仿宋_GBK"/>
          <w:b/>
          <w:kern w:val="2"/>
          <w:sz w:val="24"/>
          <w:szCs w:val="24"/>
        </w:rPr>
      </w:pPr>
      <w:r>
        <w:rPr>
          <w:rFonts w:hint="eastAsia" w:ascii="方正仿宋_GBK" w:hAnsi="方正仿宋_GBK" w:eastAsia="方正仿宋_GBK" w:cs="方正仿宋_GBK"/>
          <w:b/>
          <w:kern w:val="2"/>
          <w:sz w:val="24"/>
          <w:szCs w:val="24"/>
        </w:rPr>
        <w:t>十三、合同的组成部分</w:t>
      </w:r>
    </w:p>
    <w:p>
      <w:pPr>
        <w:pStyle w:val="113"/>
        <w:spacing w:line="560" w:lineRule="exact"/>
        <w:ind w:firstLine="480"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 xml:space="preserve">本合同条款、中标通知书、招标文件、投标文件及乙方在招标时的书面承诺等构成合同的组成部分。 </w:t>
      </w:r>
    </w:p>
    <w:p>
      <w:pPr>
        <w:pStyle w:val="148"/>
        <w:spacing w:line="560" w:lineRule="exact"/>
        <w:ind w:firstLine="482"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
          <w:kern w:val="2"/>
          <w:sz w:val="24"/>
          <w:szCs w:val="24"/>
        </w:rPr>
        <w:t>十四</w:t>
      </w:r>
      <w:r>
        <w:rPr>
          <w:rFonts w:hint="eastAsia" w:ascii="方正仿宋_GBK" w:hAnsi="方正仿宋_GBK" w:eastAsia="方正仿宋_GBK" w:cs="方正仿宋_GBK"/>
          <w:kern w:val="2"/>
          <w:sz w:val="24"/>
          <w:szCs w:val="24"/>
        </w:rPr>
        <w:t>、</w:t>
      </w:r>
      <w:r>
        <w:rPr>
          <w:rFonts w:hint="eastAsia" w:ascii="方正仿宋_GBK" w:hAnsi="方正仿宋_GBK" w:eastAsia="方正仿宋_GBK" w:cs="方正仿宋_GBK"/>
          <w:bCs/>
          <w:sz w:val="24"/>
          <w:szCs w:val="24"/>
        </w:rPr>
        <w:t>本合同一式四份，以中文书写，甲方、乙方、代理机构、政府采购科各执一份。</w:t>
      </w:r>
    </w:p>
    <w:p>
      <w:pPr>
        <w:pStyle w:val="148"/>
        <w:spacing w:line="560" w:lineRule="exact"/>
        <w:ind w:firstLine="482" w:firstLineChars="200"/>
        <w:rPr>
          <w:rFonts w:ascii="方正仿宋_GBK" w:hAnsi="方正仿宋_GBK" w:eastAsia="方正仿宋_GBK" w:cs="方正仿宋_GBK"/>
          <w:kern w:val="2"/>
          <w:sz w:val="24"/>
          <w:szCs w:val="24"/>
        </w:rPr>
      </w:pPr>
      <w:r>
        <w:rPr>
          <w:rFonts w:hint="eastAsia" w:ascii="方正仿宋_GBK" w:hAnsi="方正仿宋_GBK" w:eastAsia="方正仿宋_GBK" w:cs="方正仿宋_GBK"/>
          <w:b/>
          <w:kern w:val="2"/>
          <w:sz w:val="24"/>
          <w:szCs w:val="24"/>
        </w:rPr>
        <w:t>十五、</w:t>
      </w:r>
      <w:r>
        <w:rPr>
          <w:rFonts w:hint="eastAsia" w:ascii="方正仿宋_GBK" w:hAnsi="方正仿宋_GBK" w:eastAsia="方正仿宋_GBK" w:cs="方正仿宋_GBK"/>
          <w:bCs/>
          <w:sz w:val="24"/>
          <w:szCs w:val="24"/>
        </w:rPr>
        <w:t>本合同一切未尽事宜，按合同法有关规定执行，无相关规定的，由甲乙双方协商解决。</w:t>
      </w:r>
    </w:p>
    <w:p>
      <w:pPr>
        <w:pStyle w:val="148"/>
        <w:widowControl/>
        <w:snapToGrid w:val="0"/>
        <w:spacing w:line="560" w:lineRule="exact"/>
        <w:ind w:firstLine="562" w:firstLineChars="200"/>
        <w:jc w:val="center"/>
        <w:rPr>
          <w:rFonts w:ascii="方正仿宋_GBK" w:hAnsi="方正仿宋_GBK" w:eastAsia="方正仿宋_GBK" w:cs="方正仿宋_GBK"/>
          <w:b/>
          <w:kern w:val="2"/>
          <w:sz w:val="28"/>
          <w:szCs w:val="28"/>
        </w:rPr>
      </w:pPr>
      <w:r>
        <w:rPr>
          <w:rFonts w:hint="eastAsia" w:ascii="方正仿宋_GBK" w:hAnsi="方正仿宋_GBK" w:eastAsia="方正仿宋_GBK" w:cs="方正仿宋_GBK"/>
          <w:b/>
          <w:kern w:val="2"/>
          <w:sz w:val="28"/>
          <w:szCs w:val="28"/>
        </w:rPr>
        <w:t>通用条款</w:t>
      </w:r>
    </w:p>
    <w:p>
      <w:pPr>
        <w:pStyle w:val="148"/>
        <w:spacing w:line="560" w:lineRule="exact"/>
        <w:ind w:firstLine="482" w:firstLineChars="200"/>
        <w:rPr>
          <w:rFonts w:ascii="方正仿宋_GBK" w:hAnsi="方正仿宋_GBK" w:eastAsia="方正仿宋_GBK" w:cs="方正仿宋_GBK"/>
          <w:b/>
          <w:kern w:val="2"/>
          <w:sz w:val="24"/>
          <w:szCs w:val="24"/>
        </w:rPr>
      </w:pPr>
      <w:r>
        <w:rPr>
          <w:rFonts w:hint="eastAsia" w:ascii="方正仿宋_GBK" w:hAnsi="方正仿宋_GBK" w:eastAsia="方正仿宋_GBK" w:cs="方正仿宋_GBK"/>
          <w:b/>
          <w:kern w:val="2"/>
          <w:sz w:val="24"/>
          <w:szCs w:val="24"/>
        </w:rPr>
        <w:t>十六、词语涵义</w:t>
      </w:r>
    </w:p>
    <w:p>
      <w:pPr>
        <w:pStyle w:val="14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（一）合同：甲乙双方签署的、合同格式中载明的甲方与乙方所达成的协议，包括所有的附件、附录和构成合同的所有文件。</w:t>
      </w:r>
    </w:p>
    <w:p>
      <w:pPr>
        <w:pStyle w:val="14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（二）合同价：根据合同规定，乙方在正确地完全履行合同义务后甲方应支付给乙方的价格。</w:t>
      </w:r>
    </w:p>
    <w:p>
      <w:pPr>
        <w:pStyle w:val="14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（三）货物：乙方根据合同规定须向甲方提供的一切产品、机械、仪表、备件、工具、手册和其他技术资料及其他材料。</w:t>
      </w:r>
    </w:p>
    <w:p>
      <w:pPr>
        <w:pStyle w:val="14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（四）服务：根据合同规定乙方承担与供货有关的辅助服务，如运输、保险以及其它的伴随服务，比如调试、提供技术援助、培训和其他类似的乙方应承担的义务。</w:t>
      </w:r>
    </w:p>
    <w:p>
      <w:pPr>
        <w:pStyle w:val="14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 xml:space="preserve">（五）甲方：采购单位，即 </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 xml:space="preserve"> 。</w:t>
      </w:r>
    </w:p>
    <w:p>
      <w:pPr>
        <w:pStyle w:val="14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（六）乙方：提供货物和服务的公司或实体，即</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w:t>
      </w:r>
    </w:p>
    <w:p>
      <w:pPr>
        <w:pStyle w:val="148"/>
        <w:spacing w:line="56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bCs/>
          <w:sz w:val="24"/>
          <w:szCs w:val="24"/>
        </w:rPr>
        <w:t>（七）不可抗力：指不能预见、不能避免和不能克服的客观情况，如战争、动乱、空中飞行物体坠落或其它非甲乙方责任造成的爆炸、火灾，以及协议条款约定等级以上的风、雨、雪、地震等。</w:t>
      </w:r>
    </w:p>
    <w:p>
      <w:pPr>
        <w:pStyle w:val="148"/>
        <w:spacing w:line="560" w:lineRule="exact"/>
        <w:ind w:firstLine="482"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
          <w:kern w:val="2"/>
          <w:sz w:val="24"/>
          <w:szCs w:val="24"/>
        </w:rPr>
        <w:t>十七、违约责任</w:t>
      </w:r>
    </w:p>
    <w:p>
      <w:pPr>
        <w:pStyle w:val="148"/>
        <w:spacing w:line="56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1、除不可抗力外，如果乙方没有按照本合同约定的期限、地点和方式履行，那么甲方可要求乙方支付违约金，违约金按每迟延履行一日的应提供而未提供服务价格的</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highlight w:val="green"/>
          <w:u w:val="single"/>
        </w:rPr>
        <w:t xml:space="preserve">5‰ </w:t>
      </w:r>
      <w:r>
        <w:rPr>
          <w:rFonts w:hint="eastAsia" w:ascii="方正仿宋_GBK" w:hAnsi="方正仿宋_GBK" w:eastAsia="方正仿宋_GBK" w:cs="方正仿宋_GBK"/>
          <w:sz w:val="24"/>
          <w:szCs w:val="24"/>
        </w:rPr>
        <w:t>计算，最高限额为本合同总价的</w:t>
      </w:r>
      <w:r>
        <w:rPr>
          <w:rFonts w:hint="eastAsia" w:ascii="方正仿宋_GBK" w:hAnsi="方正仿宋_GBK" w:eastAsia="方正仿宋_GBK" w:cs="方正仿宋_GBK"/>
          <w:sz w:val="24"/>
          <w:szCs w:val="24"/>
          <w:highlight w:val="green"/>
          <w:u w:val="single"/>
        </w:rPr>
        <w:t xml:space="preserve"> 10 %</w:t>
      </w:r>
      <w:r>
        <w:rPr>
          <w:rFonts w:hint="eastAsia" w:ascii="方正仿宋_GBK" w:hAnsi="方正仿宋_GBK" w:eastAsia="方正仿宋_GBK" w:cs="方正仿宋_GBK"/>
          <w:sz w:val="24"/>
          <w:szCs w:val="24"/>
        </w:rPr>
        <w:t>；迟延履行的违约金计算数额达到前述最高限额之日起，甲方有权在要求乙方支付违约金的同时，书面通知乙方解除本合同。</w:t>
      </w:r>
    </w:p>
    <w:p>
      <w:pPr>
        <w:pStyle w:val="85"/>
        <w:spacing w:line="560" w:lineRule="exact"/>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2、除不可抗力外，如果甲方没有按照本合同约定的付款方式付款，那么乙方可要求甲方支付违约金，违约金按每迟延付款一日的应付而未付款的</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highlight w:val="green"/>
          <w:u w:val="single"/>
        </w:rPr>
        <w:t xml:space="preserve"> 万分之一 </w:t>
      </w:r>
      <w:r>
        <w:rPr>
          <w:rFonts w:hint="eastAsia" w:ascii="方正仿宋_GBK" w:hAnsi="方正仿宋_GBK" w:eastAsia="方正仿宋_GBK" w:cs="方正仿宋_GBK"/>
          <w:sz w:val="24"/>
          <w:szCs w:val="24"/>
        </w:rPr>
        <w:t>计算，最高限额为本合同总价的</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highlight w:val="green"/>
          <w:u w:val="single"/>
        </w:rPr>
        <w:t xml:space="preserve">5‰ </w:t>
      </w:r>
      <w:r>
        <w:rPr>
          <w:rFonts w:hint="eastAsia" w:ascii="方正仿宋_GBK" w:hAnsi="方正仿宋_GBK" w:eastAsia="方正仿宋_GBK" w:cs="方正仿宋_GBK"/>
          <w:sz w:val="24"/>
          <w:szCs w:val="24"/>
        </w:rPr>
        <w:t>；迟延付款的违约金计算数额达到前述最高限额之日起，乙方有权在要求甲方支付违约金的同时，书面通知甲方解除本合同。</w:t>
      </w:r>
    </w:p>
    <w:p>
      <w:pPr>
        <w:pStyle w:val="85"/>
        <w:spacing w:line="560" w:lineRule="exact"/>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pPr>
        <w:pStyle w:val="85"/>
        <w:spacing w:line="560" w:lineRule="exact"/>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pStyle w:val="85"/>
        <w:spacing w:line="560" w:lineRule="exact"/>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pStyle w:val="85"/>
        <w:spacing w:line="560" w:lineRule="exact"/>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6、如果出现政府采购监督管理部门在处理投诉事项期间，书面通知甲方暂停采购活动的情形，或者询问或质疑事项可能影响中标结果的，导致甲方中止履行合同的情形，均不视为甲方违约。</w:t>
      </w:r>
    </w:p>
    <w:p>
      <w:pPr>
        <w:pStyle w:val="85"/>
        <w:spacing w:line="560" w:lineRule="exact"/>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除不可抗力外，乙方未按合同规定的质量要求提供服务，不能完成合同时，甲方有权终止合同，重新组织招标,由此造成乙方的直接损失和间接损失甲方不给予补偿和赔偿，造成甲方损失时，甲方有权要求乙方赔偿，可从余款中扣除并可提出索赔要求。</w:t>
      </w:r>
    </w:p>
    <w:p>
      <w:pPr>
        <w:pStyle w:val="85"/>
        <w:spacing w:line="560" w:lineRule="exact"/>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8、未经甲方许可，乙方将承包的物业管理服务转包他人，采购人有权终止合同。</w:t>
      </w:r>
    </w:p>
    <w:p>
      <w:pPr>
        <w:pStyle w:val="85"/>
        <w:spacing w:line="560" w:lineRule="exact"/>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9、乙方长期（连续两个月内）有人员不到位，影响物业管理质量的，经甲方要求及时改正，乙方仍拒不改正的，</w:t>
      </w:r>
      <w:r>
        <w:rPr>
          <w:rFonts w:hint="eastAsia" w:ascii="方正仿宋_GBK" w:hAnsi="方正仿宋_GBK" w:eastAsia="方正仿宋_GBK" w:cs="方正仿宋_GBK"/>
          <w:sz w:val="24"/>
          <w:szCs w:val="24"/>
          <w:highlight w:val="green"/>
        </w:rPr>
        <w:t>甲方将终止合同</w:t>
      </w:r>
      <w:r>
        <w:rPr>
          <w:rFonts w:hint="eastAsia" w:ascii="方正仿宋_GBK" w:hAnsi="方正仿宋_GBK" w:eastAsia="方正仿宋_GBK" w:cs="方正仿宋_GBK"/>
          <w:sz w:val="24"/>
          <w:szCs w:val="24"/>
        </w:rPr>
        <w:t>。</w:t>
      </w:r>
    </w:p>
    <w:p>
      <w:pPr>
        <w:pStyle w:val="148"/>
        <w:spacing w:line="56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10、因乙方管理不善，导致甲方出现生命财产安全重大事故的（如有人员伤亡医药费在5万元以上的或有财产损失5万元以上的），</w:t>
      </w:r>
      <w:r>
        <w:rPr>
          <w:rFonts w:hint="eastAsia" w:ascii="方正仿宋_GBK" w:hAnsi="方正仿宋_GBK" w:eastAsia="方正仿宋_GBK" w:cs="方正仿宋_GBK"/>
          <w:sz w:val="24"/>
          <w:szCs w:val="24"/>
          <w:highlight w:val="green"/>
        </w:rPr>
        <w:t>甲方将终止合同</w:t>
      </w:r>
      <w:r>
        <w:rPr>
          <w:rFonts w:hint="eastAsia" w:ascii="方正仿宋_GBK" w:hAnsi="方正仿宋_GBK" w:eastAsia="方正仿宋_GBK" w:cs="方正仿宋_GBK"/>
          <w:sz w:val="24"/>
          <w:szCs w:val="24"/>
        </w:rPr>
        <w:t>，乙方对甲方造成的经济损失负有赔偿责任。</w:t>
      </w:r>
    </w:p>
    <w:p>
      <w:pPr>
        <w:pBdr>
          <w:top w:val="none" w:color="000000" w:sz="0" w:space="0"/>
          <w:left w:val="none" w:color="000000" w:sz="0" w:space="0"/>
          <w:bottom w:val="none" w:color="000000" w:sz="0" w:space="0"/>
          <w:right w:val="none" w:color="000000" w:sz="0" w:space="0"/>
        </w:pBdr>
        <w:spacing w:line="56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十八、不可抗力</w:t>
      </w:r>
    </w:p>
    <w:p>
      <w:pPr>
        <w:pBdr>
          <w:top w:val="none" w:color="000000" w:sz="0" w:space="0"/>
          <w:left w:val="none" w:color="000000" w:sz="0" w:space="0"/>
          <w:bottom w:val="none" w:color="000000" w:sz="0" w:space="0"/>
          <w:right w:val="none" w:color="000000" w:sz="0" w:space="0"/>
        </w:pBdr>
        <w:spacing w:line="560" w:lineRule="exact"/>
        <w:ind w:firstLine="480" w:firstLineChars="2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bCs/>
          <w:kern w:val="0"/>
          <w:sz w:val="24"/>
          <w:szCs w:val="24"/>
        </w:rPr>
        <w:t>1、</w:t>
      </w:r>
      <w:r>
        <w:rPr>
          <w:rFonts w:hint="eastAsia" w:ascii="方正仿宋_GBK" w:hAnsi="方正仿宋_GBK" w:eastAsia="方正仿宋_GBK" w:cs="方正仿宋_GBK"/>
          <w:color w:val="000000"/>
          <w:sz w:val="24"/>
          <w:szCs w:val="24"/>
        </w:rPr>
        <w:t>如果任何一方遭遇法律规定的不可抗力，致使合同履行受阻时，履行合同的期限应予延长，延长的期限应相当于不可抗力所影响的时间；</w:t>
      </w:r>
    </w:p>
    <w:p>
      <w:pPr>
        <w:pBdr>
          <w:top w:val="none" w:color="000000" w:sz="0" w:space="0"/>
          <w:left w:val="none" w:color="000000" w:sz="0" w:space="0"/>
          <w:bottom w:val="none" w:color="000000" w:sz="0" w:space="0"/>
          <w:right w:val="none" w:color="000000" w:sz="0" w:space="0"/>
        </w:pBdr>
        <w:spacing w:line="560" w:lineRule="exact"/>
        <w:ind w:firstLine="480" w:firstLineChars="2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2、因不可抗力致使不能实现合同目的的，当事人可以解除合同；</w:t>
      </w:r>
    </w:p>
    <w:p>
      <w:pPr>
        <w:pStyle w:val="148"/>
        <w:spacing w:line="560" w:lineRule="exact"/>
        <w:ind w:firstLine="480" w:firstLineChars="2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3、因不可抗力致使合同有变更必要的，双方当事人应在约定时间内以书面形式变更合同；</w:t>
      </w:r>
    </w:p>
    <w:p>
      <w:pPr>
        <w:pStyle w:val="51"/>
        <w:spacing w:line="560" w:lineRule="exact"/>
        <w:rPr>
          <w:rFonts w:ascii="方正仿宋_GBK" w:hAnsi="方正仿宋_GBK" w:eastAsia="方正仿宋_GBK" w:cs="方正仿宋_GBK"/>
          <w:sz w:val="24"/>
          <w:szCs w:val="24"/>
        </w:rPr>
      </w:pPr>
      <w:r>
        <w:rPr>
          <w:rFonts w:hint="eastAsia" w:ascii="方正仿宋_GBK" w:hAnsi="方正仿宋_GBK" w:eastAsia="方正仿宋_GBK" w:cs="方正仿宋_GBK"/>
          <w:b w:val="0"/>
          <w:color w:val="000000"/>
          <w:sz w:val="24"/>
          <w:szCs w:val="24"/>
        </w:rPr>
        <w:t>4、受不可抗力影响的一方在不可抗力发生后，应在约定时间内以书面形式通知对方当事人，并在约定时间内，将有关部门出具的证明文件送达对方当事人。</w:t>
      </w:r>
    </w:p>
    <w:p>
      <w:pPr>
        <w:pBdr>
          <w:top w:val="none" w:color="000000" w:sz="0" w:space="0"/>
          <w:left w:val="none" w:color="000000" w:sz="0" w:space="0"/>
          <w:bottom w:val="none" w:color="000000" w:sz="0" w:space="0"/>
          <w:right w:val="none" w:color="000000" w:sz="0" w:space="0"/>
        </w:pBdr>
        <w:spacing w:line="560" w:lineRule="exact"/>
        <w:ind w:firstLine="482" w:firstLineChars="200"/>
        <w:rPr>
          <w:rFonts w:ascii="方正仿宋_GBK" w:hAnsi="方正仿宋_GBK" w:eastAsia="方正仿宋_GBK" w:cs="方正仿宋_GBK"/>
          <w:bCs/>
          <w:kern w:val="0"/>
          <w:sz w:val="24"/>
          <w:szCs w:val="24"/>
        </w:rPr>
      </w:pPr>
      <w:r>
        <w:rPr>
          <w:rFonts w:hint="eastAsia" w:ascii="方正仿宋_GBK" w:hAnsi="方正仿宋_GBK" w:eastAsia="方正仿宋_GBK" w:cs="方正仿宋_GBK"/>
          <w:b/>
          <w:sz w:val="24"/>
          <w:szCs w:val="24"/>
        </w:rPr>
        <w:t>十九、合同转包和分包</w:t>
      </w:r>
    </w:p>
    <w:p>
      <w:pPr>
        <w:pBdr>
          <w:top w:val="none" w:color="000000" w:sz="0" w:space="0"/>
          <w:left w:val="none" w:color="000000" w:sz="0" w:space="0"/>
          <w:bottom w:val="none" w:color="000000" w:sz="0" w:space="0"/>
          <w:right w:val="none" w:color="000000" w:sz="0" w:space="0"/>
        </w:pBdr>
        <w:spacing w:line="560" w:lineRule="exact"/>
        <w:ind w:firstLine="480" w:firstLineChars="200"/>
        <w:rPr>
          <w:rFonts w:ascii="方正仿宋_GBK" w:hAnsi="方正仿宋_GBK" w:eastAsia="方正仿宋_GBK" w:cs="方正仿宋_GBK"/>
          <w:color w:val="000000"/>
          <w:sz w:val="24"/>
          <w:szCs w:val="24"/>
          <w:highlight w:val="green"/>
        </w:rPr>
      </w:pPr>
      <w:r>
        <w:rPr>
          <w:rFonts w:hint="eastAsia" w:ascii="方正仿宋_GBK" w:hAnsi="方正仿宋_GBK" w:eastAsia="方正仿宋_GBK" w:cs="方正仿宋_GBK"/>
          <w:color w:val="000000"/>
          <w:sz w:val="24"/>
          <w:szCs w:val="24"/>
          <w:highlight w:val="green"/>
        </w:rPr>
        <w:t>1、乙方不得将合同标的转包给他人履行。</w:t>
      </w:r>
    </w:p>
    <w:p>
      <w:pPr>
        <w:pBdr>
          <w:top w:val="none" w:color="000000" w:sz="0" w:space="0"/>
          <w:left w:val="none" w:color="000000" w:sz="0" w:space="0"/>
          <w:bottom w:val="none" w:color="000000" w:sz="0" w:space="0"/>
          <w:right w:val="none" w:color="000000" w:sz="0" w:space="0"/>
        </w:pBdr>
        <w:spacing w:line="560" w:lineRule="exact"/>
        <w:ind w:firstLine="480" w:firstLineChars="200"/>
        <w:rPr>
          <w:rFonts w:ascii="方正仿宋_GBK" w:hAnsi="方正仿宋_GBK" w:eastAsia="方正仿宋_GBK" w:cs="方正仿宋_GBK"/>
          <w:color w:val="000000"/>
          <w:sz w:val="24"/>
          <w:szCs w:val="24"/>
          <w:highlight w:val="green"/>
        </w:rPr>
      </w:pPr>
      <w:r>
        <w:rPr>
          <w:rFonts w:hint="eastAsia" w:ascii="方正仿宋_GBK" w:hAnsi="方正仿宋_GBK" w:eastAsia="方正仿宋_GBK" w:cs="方正仿宋_GBK"/>
          <w:color w:val="000000"/>
          <w:sz w:val="24"/>
          <w:szCs w:val="24"/>
          <w:highlight w:val="green"/>
        </w:rPr>
        <w:t>2、乙方不得将合同标的分包给他人履行。</w:t>
      </w:r>
    </w:p>
    <w:p>
      <w:pPr>
        <w:pBdr>
          <w:top w:val="none" w:color="000000" w:sz="0" w:space="0"/>
          <w:left w:val="none" w:color="000000" w:sz="0" w:space="0"/>
          <w:bottom w:val="none" w:color="000000" w:sz="0" w:space="0"/>
          <w:right w:val="none" w:color="000000" w:sz="0" w:space="0"/>
        </w:pBdr>
        <w:spacing w:line="560" w:lineRule="exact"/>
        <w:ind w:firstLine="480" w:firstLineChars="2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highlight w:val="green"/>
        </w:rPr>
        <w:t>3、乙方如有转包或未经甲方同意的分包行为，甲方有权解除合同。</w:t>
      </w:r>
    </w:p>
    <w:p>
      <w:pPr>
        <w:pStyle w:val="148"/>
        <w:spacing w:line="560" w:lineRule="exact"/>
        <w:ind w:firstLine="482" w:firstLineChars="200"/>
        <w:rPr>
          <w:rFonts w:ascii="方正仿宋_GBK" w:hAnsi="方正仿宋_GBK" w:eastAsia="方正仿宋_GBK" w:cs="方正仿宋_GBK"/>
          <w:b/>
          <w:kern w:val="2"/>
          <w:sz w:val="24"/>
          <w:szCs w:val="24"/>
          <w:lang w:val="zh-CN"/>
        </w:rPr>
      </w:pPr>
      <w:r>
        <w:rPr>
          <w:rFonts w:hint="eastAsia" w:ascii="方正仿宋_GBK" w:hAnsi="方正仿宋_GBK" w:eastAsia="方正仿宋_GBK" w:cs="方正仿宋_GBK"/>
          <w:b/>
          <w:kern w:val="2"/>
          <w:sz w:val="24"/>
          <w:szCs w:val="24"/>
        </w:rPr>
        <w:t>二十、</w:t>
      </w:r>
      <w:r>
        <w:rPr>
          <w:rFonts w:hint="eastAsia" w:ascii="方正仿宋_GBK" w:hAnsi="方正仿宋_GBK" w:eastAsia="方正仿宋_GBK" w:cs="方正仿宋_GBK"/>
          <w:b/>
          <w:kern w:val="2"/>
          <w:sz w:val="24"/>
          <w:szCs w:val="24"/>
          <w:lang w:val="zh-CN"/>
        </w:rPr>
        <w:t>供应商合法权益补偿机制</w:t>
      </w:r>
    </w:p>
    <w:p>
      <w:pPr>
        <w:pBdr>
          <w:top w:val="none" w:color="000000" w:sz="0" w:space="0"/>
          <w:left w:val="none" w:color="000000" w:sz="0" w:space="0"/>
          <w:bottom w:val="none" w:color="000000" w:sz="0" w:space="0"/>
          <w:right w:val="none" w:color="000000" w:sz="0" w:space="0"/>
        </w:pBdr>
        <w:spacing w:line="560" w:lineRule="exact"/>
        <w:ind w:firstLine="480" w:firstLineChars="200"/>
        <w:rPr>
          <w:rFonts w:ascii="方正仿宋_GBK" w:hAnsi="方正仿宋_GBK" w:eastAsia="方正仿宋_GBK" w:cs="方正仿宋_GBK"/>
          <w:bCs/>
          <w:sz w:val="24"/>
          <w:szCs w:val="24"/>
          <w:lang w:val="zh-CN"/>
        </w:rPr>
      </w:pPr>
      <w:r>
        <w:rPr>
          <w:rFonts w:hint="eastAsia" w:ascii="方正仿宋_GBK" w:hAnsi="方正仿宋_GBK" w:eastAsia="方正仿宋_GBK" w:cs="方正仿宋_GBK"/>
          <w:bCs/>
          <w:sz w:val="24"/>
          <w:szCs w:val="24"/>
          <w:lang w:val="zh-CN"/>
        </w:rPr>
        <w:t>供应商合法权益补偿救济机制。在履约过程因政策变化、规划调整而无法履行合同约定，造成企业合法权益受损的，采购人依据实际情况对供应商进行补偿救济。</w:t>
      </w:r>
    </w:p>
    <w:p>
      <w:pPr>
        <w:pStyle w:val="148"/>
        <w:spacing w:line="560" w:lineRule="exact"/>
        <w:ind w:firstLine="482" w:firstLineChars="200"/>
        <w:rPr>
          <w:rFonts w:ascii="方正仿宋_GBK" w:hAnsi="方正仿宋_GBK" w:eastAsia="方正仿宋_GBK" w:cs="方正仿宋_GBK"/>
          <w:b/>
          <w:kern w:val="2"/>
          <w:sz w:val="24"/>
          <w:szCs w:val="24"/>
        </w:rPr>
      </w:pPr>
      <w:r>
        <w:rPr>
          <w:rFonts w:hint="eastAsia" w:ascii="方正仿宋_GBK" w:hAnsi="方正仿宋_GBK" w:eastAsia="方正仿宋_GBK" w:cs="方正仿宋_GBK"/>
          <w:b/>
          <w:kern w:val="2"/>
          <w:sz w:val="24"/>
          <w:szCs w:val="24"/>
        </w:rPr>
        <w:t>二十一、税费</w:t>
      </w:r>
    </w:p>
    <w:p>
      <w:pPr>
        <w:pStyle w:val="14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本合同执行中相关的一切税费均由乙方负担。</w:t>
      </w:r>
    </w:p>
    <w:p>
      <w:pPr>
        <w:pStyle w:val="148"/>
        <w:spacing w:line="560" w:lineRule="exact"/>
        <w:ind w:firstLine="482" w:firstLineChars="200"/>
        <w:rPr>
          <w:rFonts w:ascii="方正仿宋_GBK" w:hAnsi="方正仿宋_GBK" w:eastAsia="方正仿宋_GBK" w:cs="方正仿宋_GBK"/>
          <w:b/>
          <w:kern w:val="2"/>
          <w:sz w:val="24"/>
          <w:szCs w:val="24"/>
        </w:rPr>
      </w:pPr>
      <w:r>
        <w:rPr>
          <w:rFonts w:hint="eastAsia" w:ascii="方正仿宋_GBK" w:hAnsi="方正仿宋_GBK" w:eastAsia="方正仿宋_GBK" w:cs="方正仿宋_GBK"/>
          <w:b/>
          <w:kern w:val="2"/>
          <w:sz w:val="24"/>
          <w:szCs w:val="24"/>
        </w:rPr>
        <w:t>二十二、合同争议</w:t>
      </w:r>
    </w:p>
    <w:p>
      <w:pPr>
        <w:pStyle w:val="14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 xml:space="preserve">甲乙双方应通过友好协商，解决在执行本合同中所发生的或与本合同有关的一切争议。如果协商仍得不到解决，向宿迁仲裁委员会提起仲裁。 </w:t>
      </w:r>
    </w:p>
    <w:p>
      <w:pPr>
        <w:pStyle w:val="148"/>
        <w:snapToGrid w:val="0"/>
        <w:spacing w:line="560" w:lineRule="exact"/>
        <w:ind w:firstLine="482" w:firstLineChars="200"/>
        <w:rPr>
          <w:rFonts w:ascii="方正仿宋_GBK" w:hAnsi="方正仿宋_GBK" w:eastAsia="方正仿宋_GBK" w:cs="方正仿宋_GBK"/>
          <w:b/>
          <w:kern w:val="2"/>
          <w:sz w:val="24"/>
          <w:szCs w:val="24"/>
        </w:rPr>
      </w:pPr>
      <w:r>
        <w:rPr>
          <w:rFonts w:hint="eastAsia" w:ascii="方正仿宋_GBK" w:hAnsi="方正仿宋_GBK" w:eastAsia="方正仿宋_GBK" w:cs="方正仿宋_GBK"/>
          <w:b/>
          <w:kern w:val="2"/>
          <w:sz w:val="24"/>
          <w:szCs w:val="24"/>
        </w:rPr>
        <w:t>二十三、适用法律</w:t>
      </w:r>
    </w:p>
    <w:p>
      <w:pPr>
        <w:pStyle w:val="14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本合同应按照中华人民共和国的现行法律进行解释。</w:t>
      </w:r>
    </w:p>
    <w:p>
      <w:pPr>
        <w:pStyle w:val="148"/>
        <w:snapToGrid w:val="0"/>
        <w:spacing w:line="560" w:lineRule="exact"/>
        <w:ind w:firstLine="482" w:firstLineChars="200"/>
        <w:rPr>
          <w:rFonts w:ascii="方正仿宋_GBK" w:hAnsi="方正仿宋_GBK" w:eastAsia="方正仿宋_GBK" w:cs="方正仿宋_GBK"/>
          <w:kern w:val="2"/>
          <w:sz w:val="24"/>
          <w:szCs w:val="24"/>
        </w:rPr>
      </w:pPr>
      <w:r>
        <w:rPr>
          <w:rFonts w:hint="eastAsia" w:ascii="方正仿宋_GBK" w:hAnsi="方正仿宋_GBK" w:eastAsia="方正仿宋_GBK" w:cs="方正仿宋_GBK"/>
          <w:b/>
          <w:kern w:val="2"/>
          <w:sz w:val="24"/>
          <w:szCs w:val="24"/>
        </w:rPr>
        <w:t>二十四、附件：日常考核办法</w:t>
      </w:r>
    </w:p>
    <w:p>
      <w:pPr>
        <w:pStyle w:val="14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 xml:space="preserve">甲方：（盖章）                 乙方：（盖章）       </w:t>
      </w:r>
    </w:p>
    <w:p>
      <w:pPr>
        <w:pStyle w:val="14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地址：                           地址：</w:t>
      </w:r>
    </w:p>
    <w:p>
      <w:pPr>
        <w:pStyle w:val="14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法定（授权）代表人：             法定（授权）代表人：</w:t>
      </w:r>
    </w:p>
    <w:p>
      <w:pPr>
        <w:pStyle w:val="14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联系人：                         联系人：</w:t>
      </w:r>
    </w:p>
    <w:p>
      <w:pPr>
        <w:pStyle w:val="14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联系电话：                       联系电话：</w:t>
      </w:r>
    </w:p>
    <w:p>
      <w:pPr>
        <w:pStyle w:val="148"/>
        <w:spacing w:line="560" w:lineRule="exact"/>
        <w:ind w:firstLine="480" w:firstLineChars="200"/>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2025年   月   日                2025年   月   日</w:t>
      </w:r>
    </w:p>
    <w:p>
      <w:pPr>
        <w:pStyle w:val="178"/>
        <w:spacing w:line="500" w:lineRule="exact"/>
        <w:ind w:firstLine="482" w:firstLineChars="200"/>
        <w:rPr>
          <w:rFonts w:ascii="宋体" w:hAnsi="宋体" w:eastAsia="宋体" w:cs="宋体"/>
          <w:b/>
          <w:sz w:val="24"/>
          <w:szCs w:val="24"/>
        </w:rPr>
      </w:pPr>
    </w:p>
    <w:p>
      <w:pPr>
        <w:pStyle w:val="178"/>
        <w:spacing w:line="50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 xml:space="preserve"> </w:t>
      </w:r>
    </w:p>
    <w:p>
      <w:pP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br w:type="page"/>
      </w:r>
    </w:p>
    <w:p>
      <w:pPr>
        <w:pStyle w:val="178"/>
        <w:spacing w:line="50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附件：考核打分表</w:t>
      </w:r>
    </w:p>
    <w:tbl>
      <w:tblPr>
        <w:tblStyle w:val="44"/>
        <w:tblW w:w="9750" w:type="dxa"/>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795"/>
        <w:gridCol w:w="1260"/>
        <w:gridCol w:w="4950"/>
        <w:gridCol w:w="1020"/>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序号</w:t>
            </w:r>
          </w:p>
        </w:tc>
        <w:tc>
          <w:tcPr>
            <w:tcW w:w="795" w:type="dxa"/>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考核项目</w:t>
            </w:r>
          </w:p>
        </w:tc>
        <w:tc>
          <w:tcPr>
            <w:tcW w:w="1260" w:type="dxa"/>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考核内容</w:t>
            </w:r>
          </w:p>
        </w:tc>
        <w:tc>
          <w:tcPr>
            <w:tcW w:w="4950" w:type="dxa"/>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考核标准</w:t>
            </w:r>
          </w:p>
        </w:tc>
        <w:tc>
          <w:tcPr>
            <w:tcW w:w="1020" w:type="dxa"/>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存在</w:t>
            </w:r>
          </w:p>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问题</w:t>
            </w:r>
          </w:p>
        </w:tc>
        <w:tc>
          <w:tcPr>
            <w:tcW w:w="975" w:type="dxa"/>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pPr>
              <w:pStyle w:val="178"/>
              <w:spacing w:line="500" w:lineRule="exact"/>
              <w:jc w:val="center"/>
              <w:rPr>
                <w:rFonts w:hint="eastAsia" w:ascii="方正仿宋_GBK" w:hAnsi="方正仿宋_GBK" w:eastAsia="方正仿宋_GBK" w:cs="方正仿宋_GBK"/>
                <w:b/>
                <w:sz w:val="24"/>
                <w:szCs w:val="24"/>
                <w:vertAlign w:val="baseline"/>
                <w:lang w:val="en-US" w:eastAsia="zh-CN"/>
              </w:rPr>
            </w:pPr>
            <w:r>
              <w:rPr>
                <w:rFonts w:hint="eastAsia" w:ascii="方正仿宋_GBK" w:hAnsi="方正仿宋_GBK" w:eastAsia="方正仿宋_GBK" w:cs="方正仿宋_GBK"/>
                <w:b/>
                <w:sz w:val="24"/>
                <w:szCs w:val="24"/>
                <w:vertAlign w:val="baseline"/>
                <w:lang w:val="en-US" w:eastAsia="zh-CN"/>
              </w:rPr>
              <w:t>1</w:t>
            </w:r>
          </w:p>
        </w:tc>
        <w:tc>
          <w:tcPr>
            <w:tcW w:w="795" w:type="dxa"/>
            <w:vMerge w:val="restart"/>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保洁考核（</w:t>
            </w:r>
            <w:r>
              <w:rPr>
                <w:rFonts w:hint="eastAsia" w:ascii="方正仿宋_GBK" w:hAnsi="方正仿宋_GBK" w:eastAsia="方正仿宋_GBK" w:cs="方正仿宋_GBK"/>
                <w:b/>
                <w:sz w:val="24"/>
                <w:szCs w:val="24"/>
                <w:vertAlign w:val="baseline"/>
                <w:lang w:val="en-US" w:eastAsia="zh-CN"/>
              </w:rPr>
              <w:t>40分</w:t>
            </w:r>
            <w:r>
              <w:rPr>
                <w:rFonts w:hint="eastAsia" w:ascii="方正仿宋_GBK" w:hAnsi="方正仿宋_GBK" w:eastAsia="方正仿宋_GBK" w:cs="方正仿宋_GBK"/>
                <w:b/>
                <w:sz w:val="24"/>
                <w:szCs w:val="24"/>
                <w:vertAlign w:val="baseline"/>
                <w:lang w:eastAsia="zh-CN"/>
              </w:rPr>
              <w:t>）</w:t>
            </w:r>
          </w:p>
        </w:tc>
        <w:tc>
          <w:tcPr>
            <w:tcW w:w="1260" w:type="dxa"/>
            <w:vAlign w:val="center"/>
          </w:tcPr>
          <w:p>
            <w:pPr>
              <w:pStyle w:val="178"/>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eastAsia="zh-CN"/>
              </w:rPr>
            </w:pPr>
            <w:r>
              <w:rPr>
                <w:rFonts w:hint="eastAsia" w:ascii="方正仿宋_GB2312" w:hAnsi="方正仿宋_GB2312" w:eastAsia="方正仿宋_GB2312" w:cs="方正仿宋_GB2312"/>
                <w:b/>
                <w:bCs w:val="0"/>
                <w:sz w:val="22"/>
                <w:szCs w:val="22"/>
                <w:vertAlign w:val="baseline"/>
                <w:lang w:eastAsia="zh-CN"/>
              </w:rPr>
              <w:t>（一）卫生间保洁</w:t>
            </w:r>
          </w:p>
        </w:tc>
        <w:tc>
          <w:tcPr>
            <w:tcW w:w="4950" w:type="dxa"/>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教学区每间卫生间每天必须打扫4次（上下午各两次），特别需要的，每节课（上课时）打扫一次。每天必须正常保持每个卫生间洁净明亮。</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1.便盆无积粪、黄垢，便盆整体洁白干净，不干净扣0.5-2分，不清理扣2分。蹲位台面、墙面洁净无垃圾、污渍，不干净扣0.5-1分。小便斗无尿垢黄锈、无杂物、洁白干净，不干净扣0.5-2分。</w:t>
            </w:r>
          </w:p>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2.独立间板面无乱贴画、刻画、污渍，不干净扣1分。放置卫生纸等物的垃圾桶要及时清理，没有及时清理的扣0.5-2分。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3.涮拖把池、洗手盆池、盆池台面、镜面干净无污物，不干净扣0.5-2分。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4.地面、墙面、门窗、顶棚无积水、垃圾、灰尘、蜘蛛网、污渍，不干净扣0.5-2分。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5.打扫工具规范摆放，摆放凌乱扣0.5-1分。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sz w:val="22"/>
                <w:szCs w:val="22"/>
                <w:vertAlign w:val="baseline"/>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6.室内设施损坏（水龙头漏水、管道堵塞等）及时报修，不及时报修扣2分。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7.卫生间内不允许摆放其他不属于室内设施的物品，（个人物品、电动自行车等）如有上述物品一经发现没及时清理扣1-2分。</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restart"/>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eastAsia="zh-CN"/>
              </w:rPr>
            </w:pPr>
            <w:r>
              <w:rPr>
                <w:rFonts w:hint="eastAsia" w:ascii="方正仿宋_GB2312" w:hAnsi="方正仿宋_GB2312" w:eastAsia="方正仿宋_GB2312" w:cs="方正仿宋_GB2312"/>
                <w:b/>
                <w:bCs w:val="0"/>
                <w:sz w:val="22"/>
                <w:szCs w:val="22"/>
                <w:vertAlign w:val="baseline"/>
                <w:lang w:eastAsia="zh-CN"/>
              </w:rPr>
              <w:t>（二）茶水间保洁</w:t>
            </w:r>
          </w:p>
        </w:tc>
        <w:tc>
          <w:tcPr>
            <w:tcW w:w="4950" w:type="dxa"/>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sz w:val="22"/>
                <w:szCs w:val="22"/>
                <w:vertAlign w:val="baseline"/>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茶水间每天必须打扫4次（上下午各两次），特别需要的，每节课（上课时）打扫一次。每天必须正常保持每个茶水间洁净明亮。</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1.饮水机表面无污渍、灰尘，放水台无茶叶、垃圾等，不干净扣0.5-2分。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2.洗漱池、池上置物台面整体洁净无茶叶、茶包、垃圾杂物等，不干净扣0.5-2分。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3.清倒废茶叶、茶包的垃圾桶要及时清理（以防蚊虫滋生），没有及时清理的扣0.5-2分。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4.地面、墙面、门窗、顶棚无积水、垃圾、灰尘、蜘蛛网、污渍，不干净扣1-4分。</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rPr>
            </w:pPr>
            <w:r>
              <w:rPr>
                <w:rFonts w:hint="eastAsia" w:ascii="方正仿宋_GB2312" w:hAnsi="方正仿宋_GB2312" w:eastAsia="方正仿宋_GB2312" w:cs="方正仿宋_GB2312"/>
                <w:b/>
                <w:bCs w:val="0"/>
                <w:i w:val="0"/>
                <w:iCs w:val="0"/>
                <w:color w:val="000000"/>
                <w:sz w:val="22"/>
                <w:szCs w:val="22"/>
                <w:highlight w:val="none"/>
                <w:u w:val="none"/>
                <w:lang w:val="en-US" w:eastAsia="zh-CN" w:bidi="ar"/>
              </w:rPr>
              <w:t>（三）校园各道路、场地、园区、绿化带保洁</w:t>
            </w:r>
          </w:p>
        </w:tc>
        <w:tc>
          <w:tcPr>
            <w:tcW w:w="4950"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lang w:val="en-US" w:eastAsia="zh-CN" w:bidi="ar"/>
              </w:rPr>
              <w:t>1.</w:t>
            </w:r>
            <w:r>
              <w:rPr>
                <w:rFonts w:hint="eastAsia" w:ascii="方正仿宋_GB2312" w:hAnsi="方正仿宋_GB2312" w:eastAsia="方正仿宋_GB2312" w:cs="方正仿宋_GB2312"/>
                <w:i w:val="0"/>
                <w:iCs w:val="0"/>
                <w:color w:val="000000"/>
                <w:sz w:val="22"/>
                <w:szCs w:val="22"/>
                <w:highlight w:val="none"/>
                <w:u w:val="none"/>
                <w:lang w:val="en-US" w:eastAsia="zh-CN" w:bidi="ar"/>
              </w:rPr>
              <w:t>校园各道路（校园内所有道路）：道路地面整洁干净无积水、垃圾、杂草、杂物，无卫生死角，地面不干净扣0.5-1分，卫生死角有垃圾污渍扣0.5分，地面落叶、路牙缝隙杂草及时清扫、不及时清扫扣0.5分。绿化带无明显垃圾，看到两处以上明显垃圾扣0.5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sz w:val="22"/>
                <w:szCs w:val="22"/>
                <w:vertAlign w:val="baseline"/>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2.校园各场地（各楼栋前后场地、操场、篮球场、足球场、停车场、广场等）：地面整洁干净无积水、垃圾、杂草、杂物，无卫生死角，场地不干净扣0.5-2分，场地有太厚落叶要及时清扫，不及时清扫扣0.5分。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3.校园内道路地面整洁干净无积水、垃圾、杂草、杂物，道路不干净扣0.5-1分。设施保持洁净明亮无灰尘、污渍、乱刻画、不洁净扣0.5-2分。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4.绿化带（校园内所有绿化带）：绿化带无太厚落叶、太多砖石、太多枯枝，不及时清理扣0.5-2分，绿化带无明显垃圾，看到两处以上明显垃圾扣0.5分。</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rPr>
            </w:pPr>
            <w:r>
              <w:rPr>
                <w:rFonts w:hint="eastAsia" w:ascii="方正仿宋_GB2312" w:hAnsi="方正仿宋_GB2312" w:eastAsia="方正仿宋_GB2312" w:cs="方正仿宋_GB2312"/>
                <w:b/>
                <w:bCs w:val="0"/>
                <w:i w:val="0"/>
                <w:iCs w:val="0"/>
                <w:color w:val="000000"/>
                <w:sz w:val="22"/>
                <w:szCs w:val="22"/>
                <w:highlight w:val="none"/>
                <w:u w:val="none"/>
                <w:lang w:val="en-US" w:eastAsia="zh-CN" w:bidi="ar"/>
              </w:rPr>
              <w:t xml:space="preserve">（四）各办公室、会议室、阶梯教室、报告厅、场馆、保洁         </w:t>
            </w:r>
          </w:p>
        </w:tc>
        <w:tc>
          <w:tcPr>
            <w:tcW w:w="4950"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1.办公室、会议室、阶梯教室、报告厅、各场馆每天保持室内外干净整洁，地面、墙面、门窗、顶棚无垃圾、灰尘、蜘蛛网、污渍，不干净整洁扣0.5-1分，没打扫扣2分。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auto"/>
              <w:rPr>
                <w:rFonts w:hint="eastAsia" w:ascii="方正仿宋_GB2312" w:hAnsi="方正仿宋_GB2312" w:eastAsia="方正仿宋_GB2312" w:cs="方正仿宋_GB2312"/>
                <w:i w:val="0"/>
                <w:iCs w:val="0"/>
                <w:color w:val="000000"/>
                <w:sz w:val="22"/>
                <w:szCs w:val="22"/>
                <w:highlight w:val="none"/>
                <w:u w:val="none"/>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2.室内设施保持洁净明亮无灰尘、污渍、乱刻画、不洁净扣0.5-2分。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sz w:val="22"/>
                <w:szCs w:val="22"/>
                <w:vertAlign w:val="baseline"/>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3.打扫行政办公室、会议室的保洁员，学校随时有任务必须及时到位，不及时到位的扣2分。</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rPr>
            </w:pPr>
            <w:r>
              <w:rPr>
                <w:rFonts w:hint="eastAsia" w:ascii="方正仿宋_GB2312" w:hAnsi="方正仿宋_GB2312" w:eastAsia="方正仿宋_GB2312" w:cs="方正仿宋_GB2312"/>
                <w:b/>
                <w:bCs w:val="0"/>
                <w:i w:val="0"/>
                <w:iCs w:val="0"/>
                <w:color w:val="000000"/>
                <w:sz w:val="22"/>
                <w:szCs w:val="22"/>
                <w:highlight w:val="none"/>
                <w:u w:val="none"/>
                <w:lang w:val="en-US" w:eastAsia="zh-CN" w:bidi="ar"/>
              </w:rPr>
              <w:t xml:space="preserve">（五）综合楼、办公楼、风雨操场及功能性场馆保洁 </w:t>
            </w:r>
          </w:p>
        </w:tc>
        <w:tc>
          <w:tcPr>
            <w:tcW w:w="4950" w:type="dxa"/>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sz w:val="22"/>
                <w:szCs w:val="22"/>
                <w:vertAlign w:val="baseline"/>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1.楼栋的楼梯、楼梯扶手、楼层走道每天保持干净无垃圾无灰尘，墙壁、顶棚无污渍、蛛网、一项不达标准扣0.5-1分，没打扫扣2分。</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2.楼栋所属办公室、会议室、教室、报告厅、卫生间、各场馆保洁考核标准同第一、四大项。</w:t>
            </w:r>
            <w:r>
              <w:rPr>
                <w:rFonts w:hint="eastAsia" w:ascii="方正仿宋_GB2312" w:hAnsi="方正仿宋_GB2312" w:eastAsia="方正仿宋_GB2312" w:cs="方正仿宋_GB2312"/>
                <w:i w:val="0"/>
                <w:iCs w:val="0"/>
                <w:color w:val="000000"/>
                <w:sz w:val="22"/>
                <w:szCs w:val="22"/>
                <w:highlight w:val="none"/>
                <w:u w:val="none"/>
                <w:lang w:val="en-US" w:eastAsia="zh-CN" w:bidi="ar"/>
              </w:rPr>
              <w:br w:type="textWrapping" w:clear="all"/>
            </w:r>
            <w:r>
              <w:rPr>
                <w:rFonts w:hint="eastAsia" w:ascii="方正仿宋_GB2312" w:hAnsi="方正仿宋_GB2312" w:eastAsia="方正仿宋_GB2312" w:cs="方正仿宋_GB2312"/>
                <w:i w:val="0"/>
                <w:iCs w:val="0"/>
                <w:color w:val="000000"/>
                <w:sz w:val="22"/>
                <w:szCs w:val="22"/>
                <w:highlight w:val="none"/>
                <w:u w:val="none"/>
                <w:lang w:val="en-US" w:eastAsia="zh-CN" w:bidi="ar"/>
              </w:rPr>
              <w:t>3.楼栋前后道路、场地、绿化带保洁考核标准同第三大项。</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eastAsia="zh-CN"/>
              </w:rPr>
            </w:pPr>
            <w:r>
              <w:rPr>
                <w:rFonts w:hint="eastAsia" w:ascii="方正仿宋_GB2312" w:hAnsi="方正仿宋_GB2312" w:eastAsia="方正仿宋_GB2312" w:cs="方正仿宋_GB2312"/>
                <w:b/>
                <w:bCs w:val="0"/>
                <w:sz w:val="22"/>
                <w:szCs w:val="22"/>
                <w:vertAlign w:val="baseline"/>
                <w:lang w:eastAsia="zh-CN"/>
              </w:rPr>
              <w:t>（六）垃圾清理</w:t>
            </w:r>
          </w:p>
        </w:tc>
        <w:tc>
          <w:tcPr>
            <w:tcW w:w="4950" w:type="dxa"/>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1.日常垃圾清运：每天早上7:00至8:30之间，将校园内各生活垃圾收集点垃圾清运完，如没有及时清运或有遗漏每次扣1分。如有大型活动（考试布置、校庆等）产生的大量垃圾，应积极配合，增派人员及车辆，调整清运频次及作业时间，保障学校活动顺利进行。否则每次扣5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2.特殊垃圾清运：定期清运特殊垃圾。（零星维修产生的建筑垃圾、绿化产生的杂草、落叶、树枝、废旧家具等非生活垃圾）特殊垃圾收集点堆满应及时清运，如没有及时清运或有遗漏每次扣2分。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3.清运后的垃圾收集点地面应无残留垃圾，如有残留垃圾，根据残留量大小每次扣0.5-2分。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4.垃圾清运车辆应保持外观整洁，无垃圾外挂、滴漏等现象。发现一次扣1分。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i w:val="0"/>
                <w:iCs w:val="0"/>
                <w:color w:val="000000"/>
                <w:sz w:val="22"/>
                <w:szCs w:val="22"/>
                <w:highlight w:val="none"/>
                <w:u w:val="none"/>
                <w:lang w:val="en-US" w:eastAsia="zh-CN" w:bidi="ar"/>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5.垃圾清运人员应自觉遵守学校管理制度，清运工作做到安全、有序，文明作业，不得影响学校正常教学秩序。否则每次扣2分。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sz w:val="22"/>
                <w:szCs w:val="22"/>
                <w:vertAlign w:val="baseline"/>
              </w:rPr>
            </w:pPr>
            <w:r>
              <w:rPr>
                <w:rFonts w:hint="eastAsia" w:ascii="方正仿宋_GB2312" w:hAnsi="方正仿宋_GB2312" w:eastAsia="方正仿宋_GB2312" w:cs="方正仿宋_GB2312"/>
                <w:i w:val="0"/>
                <w:iCs w:val="0"/>
                <w:color w:val="000000"/>
                <w:sz w:val="22"/>
                <w:szCs w:val="22"/>
                <w:highlight w:val="none"/>
                <w:u w:val="none"/>
                <w:lang w:val="en-US" w:eastAsia="zh-CN" w:bidi="ar"/>
              </w:rPr>
              <w:t xml:space="preserve">6.清运过程中应确保安全，无安全事故发生。若发生轻微安全事故扣2分，严重安全事故则扣除当月全部分数。 </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rPr>
            </w:pPr>
            <w:r>
              <w:rPr>
                <w:rFonts w:hint="eastAsia" w:ascii="方正仿宋_GB2312" w:hAnsi="方正仿宋_GB2312" w:eastAsia="方正仿宋_GB2312" w:cs="方正仿宋_GB2312"/>
                <w:b/>
                <w:bCs w:val="0"/>
                <w:i w:val="0"/>
                <w:iCs w:val="0"/>
                <w:color w:val="000000"/>
                <w:sz w:val="22"/>
                <w:szCs w:val="22"/>
                <w:highlight w:val="none"/>
                <w:u w:val="none"/>
                <w:lang w:val="en-US" w:eastAsia="zh-CN" w:bidi="ar"/>
              </w:rPr>
              <w:t xml:space="preserve">（七）其他事项 </w:t>
            </w:r>
          </w:p>
        </w:tc>
        <w:tc>
          <w:tcPr>
            <w:tcW w:w="4950" w:type="dxa"/>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rPr>
            </w:pPr>
            <w:r>
              <w:rPr>
                <w:rFonts w:hint="eastAsia" w:ascii="方正仿宋_GB2312" w:hAnsi="方正仿宋_GB2312" w:eastAsia="方正仿宋_GB2312" w:cs="方正仿宋_GB2312"/>
                <w:b w:val="0"/>
                <w:bCs/>
                <w:sz w:val="22"/>
                <w:szCs w:val="22"/>
                <w:vertAlign w:val="baseline"/>
                <w:lang w:val="en-US" w:eastAsia="zh-CN"/>
              </w:rPr>
              <w:t>1.</w:t>
            </w:r>
            <w:r>
              <w:rPr>
                <w:rFonts w:hint="eastAsia" w:ascii="方正仿宋_GB2312" w:hAnsi="方正仿宋_GB2312" w:eastAsia="方正仿宋_GB2312" w:cs="方正仿宋_GB2312"/>
                <w:b w:val="0"/>
                <w:bCs/>
                <w:sz w:val="22"/>
                <w:szCs w:val="22"/>
                <w:vertAlign w:val="baseline"/>
              </w:rPr>
              <w:t>严格执行作息制度按时上下班，无故迟到或早退扣2分。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rPr>
            </w:pPr>
            <w:r>
              <w:rPr>
                <w:rFonts w:hint="eastAsia" w:ascii="方正仿宋_GB2312" w:hAnsi="方正仿宋_GB2312" w:eastAsia="方正仿宋_GB2312" w:cs="方正仿宋_GB2312"/>
                <w:b w:val="0"/>
                <w:bCs/>
                <w:sz w:val="22"/>
                <w:szCs w:val="22"/>
                <w:vertAlign w:val="baseline"/>
                <w:lang w:val="en-US" w:eastAsia="zh-CN"/>
              </w:rPr>
              <w:t>2.</w:t>
            </w:r>
            <w:r>
              <w:rPr>
                <w:rFonts w:hint="eastAsia" w:ascii="方正仿宋_GB2312" w:hAnsi="方正仿宋_GB2312" w:eastAsia="方正仿宋_GB2312" w:cs="方正仿宋_GB2312"/>
                <w:b w:val="0"/>
                <w:bCs/>
                <w:sz w:val="22"/>
                <w:szCs w:val="22"/>
                <w:vertAlign w:val="baseline"/>
              </w:rPr>
              <w:t>每日做好保洁工作，无脱岗、串岗现象。发现串岗的每次扣1分、不请假无故脱岗扣2分。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rPr>
            </w:pPr>
            <w:r>
              <w:rPr>
                <w:rFonts w:hint="eastAsia" w:ascii="方正仿宋_GB2312" w:hAnsi="方正仿宋_GB2312" w:eastAsia="方正仿宋_GB2312" w:cs="方正仿宋_GB2312"/>
                <w:b w:val="0"/>
                <w:bCs/>
                <w:sz w:val="22"/>
                <w:szCs w:val="22"/>
                <w:vertAlign w:val="baseline"/>
                <w:lang w:val="en-US" w:eastAsia="zh-CN"/>
              </w:rPr>
              <w:t>3.</w:t>
            </w:r>
            <w:r>
              <w:rPr>
                <w:rFonts w:hint="eastAsia" w:ascii="方正仿宋_GB2312" w:hAnsi="方正仿宋_GB2312" w:eastAsia="方正仿宋_GB2312" w:cs="方正仿宋_GB2312"/>
                <w:b w:val="0"/>
                <w:bCs/>
                <w:sz w:val="22"/>
                <w:szCs w:val="22"/>
                <w:vertAlign w:val="baseline"/>
              </w:rPr>
              <w:t>做好上班期间责任区公共设施的检查报修工作，不及时报修扣2分。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rPr>
            </w:pPr>
            <w:r>
              <w:rPr>
                <w:rFonts w:hint="eastAsia" w:ascii="方正仿宋_GB2312" w:hAnsi="方正仿宋_GB2312" w:eastAsia="方正仿宋_GB2312" w:cs="方正仿宋_GB2312"/>
                <w:b w:val="0"/>
                <w:bCs/>
                <w:sz w:val="22"/>
                <w:szCs w:val="22"/>
                <w:vertAlign w:val="baseline"/>
                <w:lang w:val="en-US" w:eastAsia="zh-CN"/>
              </w:rPr>
              <w:t>4.</w:t>
            </w:r>
            <w:r>
              <w:rPr>
                <w:rFonts w:hint="eastAsia" w:ascii="方正仿宋_GB2312" w:hAnsi="方正仿宋_GB2312" w:eastAsia="方正仿宋_GB2312" w:cs="方正仿宋_GB2312"/>
                <w:b w:val="0"/>
                <w:bCs/>
                <w:sz w:val="22"/>
                <w:szCs w:val="22"/>
                <w:vertAlign w:val="baseline"/>
              </w:rPr>
              <w:t>积极完成学校领导交办的其它保洁工作，不服从安排每次扣2分。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rPr>
            </w:pPr>
            <w:r>
              <w:rPr>
                <w:rFonts w:hint="eastAsia" w:ascii="方正仿宋_GB2312" w:hAnsi="方正仿宋_GB2312" w:eastAsia="方正仿宋_GB2312" w:cs="方正仿宋_GB2312"/>
                <w:b w:val="0"/>
                <w:bCs/>
                <w:sz w:val="22"/>
                <w:szCs w:val="22"/>
                <w:vertAlign w:val="baseline"/>
                <w:lang w:val="en-US" w:eastAsia="zh-CN"/>
              </w:rPr>
              <w:t>5.</w:t>
            </w:r>
            <w:r>
              <w:rPr>
                <w:rFonts w:hint="eastAsia" w:ascii="方正仿宋_GB2312" w:hAnsi="方正仿宋_GB2312" w:eastAsia="方正仿宋_GB2312" w:cs="方正仿宋_GB2312"/>
                <w:b w:val="0"/>
                <w:bCs/>
                <w:sz w:val="22"/>
                <w:szCs w:val="22"/>
                <w:vertAlign w:val="baseline"/>
              </w:rPr>
              <w:t>工作当中不大声喧哗，劳作尽量减少噪音，不能影响师生学习与工作。造成影响的扣2分。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rPr>
            </w:pPr>
            <w:r>
              <w:rPr>
                <w:rFonts w:hint="eastAsia" w:ascii="方正仿宋_GB2312" w:hAnsi="方正仿宋_GB2312" w:eastAsia="方正仿宋_GB2312" w:cs="方正仿宋_GB2312"/>
                <w:b w:val="0"/>
                <w:bCs/>
                <w:sz w:val="22"/>
                <w:szCs w:val="22"/>
                <w:vertAlign w:val="baseline"/>
                <w:lang w:val="en-US" w:eastAsia="zh-CN"/>
              </w:rPr>
              <w:t>6.</w:t>
            </w:r>
            <w:r>
              <w:rPr>
                <w:rFonts w:hint="eastAsia" w:ascii="方正仿宋_GB2312" w:hAnsi="方正仿宋_GB2312" w:eastAsia="方正仿宋_GB2312" w:cs="方正仿宋_GB2312"/>
                <w:b w:val="0"/>
                <w:bCs/>
                <w:sz w:val="22"/>
                <w:szCs w:val="22"/>
                <w:vertAlign w:val="baseline"/>
              </w:rPr>
              <w:t>保洁团队应团结友爱、互帮互助。保洁成员因琐事发生吵架、斗殴，扣10分，情节严重移送公安机关处理。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rPr>
            </w:pPr>
            <w:r>
              <w:rPr>
                <w:rFonts w:hint="eastAsia" w:ascii="方正仿宋_GB2312" w:hAnsi="方正仿宋_GB2312" w:eastAsia="方正仿宋_GB2312" w:cs="方正仿宋_GB2312"/>
                <w:b w:val="0"/>
                <w:bCs/>
                <w:sz w:val="22"/>
                <w:szCs w:val="22"/>
                <w:vertAlign w:val="baseline"/>
                <w:lang w:val="en-US" w:eastAsia="zh-CN"/>
              </w:rPr>
              <w:t>7.</w:t>
            </w:r>
            <w:r>
              <w:rPr>
                <w:rFonts w:hint="eastAsia" w:ascii="方正仿宋_GB2312" w:hAnsi="方正仿宋_GB2312" w:eastAsia="方正仿宋_GB2312" w:cs="方正仿宋_GB2312"/>
                <w:b w:val="0"/>
                <w:bCs/>
                <w:sz w:val="22"/>
                <w:szCs w:val="22"/>
                <w:vertAlign w:val="baseline"/>
              </w:rPr>
              <w:t>因保洁工作没做到位，被老师、学生投诉的(反应到教师群等)，一次扣3分。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rPr>
            </w:pPr>
            <w:r>
              <w:rPr>
                <w:rFonts w:hint="eastAsia" w:ascii="方正仿宋_GB2312" w:hAnsi="方正仿宋_GB2312" w:eastAsia="方正仿宋_GB2312" w:cs="方正仿宋_GB2312"/>
                <w:b w:val="0"/>
                <w:bCs/>
                <w:sz w:val="22"/>
                <w:szCs w:val="22"/>
                <w:vertAlign w:val="baseline"/>
                <w:lang w:val="en-US" w:eastAsia="zh-CN"/>
              </w:rPr>
              <w:t>8.</w:t>
            </w:r>
            <w:r>
              <w:rPr>
                <w:rFonts w:hint="eastAsia" w:ascii="方正仿宋_GB2312" w:hAnsi="方正仿宋_GB2312" w:eastAsia="方正仿宋_GB2312" w:cs="方正仿宋_GB2312"/>
                <w:b w:val="0"/>
                <w:bCs/>
                <w:sz w:val="22"/>
                <w:szCs w:val="22"/>
                <w:vertAlign w:val="baseline"/>
              </w:rPr>
              <w:t>上班期间不得做与工作无关的事情，（如捡拾垃圾贩卖，做个人私事等）如有发现一次扣2分。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default"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9.现场人员月度流动率不大于 10%，若大于每次口1分。</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750" w:type="dxa"/>
            <w:vMerge w:val="restart"/>
            <w:vAlign w:val="center"/>
          </w:tcPr>
          <w:p>
            <w:pPr>
              <w:pStyle w:val="178"/>
              <w:spacing w:line="500" w:lineRule="exact"/>
              <w:jc w:val="center"/>
              <w:rPr>
                <w:rFonts w:hint="eastAsia" w:ascii="方正仿宋_GBK" w:hAnsi="方正仿宋_GBK" w:eastAsia="方正仿宋_GBK" w:cs="方正仿宋_GBK"/>
                <w:b/>
                <w:sz w:val="24"/>
                <w:szCs w:val="24"/>
                <w:vertAlign w:val="baseline"/>
                <w:lang w:val="en-US" w:eastAsia="zh-CN"/>
              </w:rPr>
            </w:pPr>
            <w:r>
              <w:rPr>
                <w:rFonts w:hint="eastAsia" w:ascii="方正仿宋_GBK" w:hAnsi="方正仿宋_GBK" w:eastAsia="方正仿宋_GBK" w:cs="方正仿宋_GBK"/>
                <w:b/>
                <w:sz w:val="24"/>
                <w:szCs w:val="24"/>
                <w:vertAlign w:val="baseline"/>
                <w:lang w:val="en-US" w:eastAsia="zh-CN"/>
              </w:rPr>
              <w:t>2</w:t>
            </w:r>
          </w:p>
        </w:tc>
        <w:tc>
          <w:tcPr>
            <w:tcW w:w="795" w:type="dxa"/>
            <w:vMerge w:val="restart"/>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宿管考核（</w:t>
            </w:r>
            <w:r>
              <w:rPr>
                <w:rFonts w:hint="eastAsia" w:ascii="方正仿宋_GBK" w:hAnsi="方正仿宋_GBK" w:eastAsia="方正仿宋_GBK" w:cs="方正仿宋_GBK"/>
                <w:b/>
                <w:sz w:val="24"/>
                <w:szCs w:val="24"/>
                <w:vertAlign w:val="baseline"/>
                <w:lang w:val="en-US" w:eastAsia="zh-CN"/>
              </w:rPr>
              <w:t>35分</w:t>
            </w:r>
            <w:r>
              <w:rPr>
                <w:rFonts w:hint="eastAsia" w:ascii="方正仿宋_GBK" w:hAnsi="方正仿宋_GBK" w:eastAsia="方正仿宋_GBK" w:cs="方正仿宋_GBK"/>
                <w:b/>
                <w:sz w:val="24"/>
                <w:szCs w:val="24"/>
                <w:vertAlign w:val="baseline"/>
                <w:lang w:eastAsia="zh-CN"/>
              </w:rPr>
              <w:t>）</w:t>
            </w: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（一）安全保卫</w:t>
            </w:r>
          </w:p>
        </w:tc>
        <w:tc>
          <w:tcPr>
            <w:tcW w:w="4950" w:type="dxa"/>
            <w:vAlign w:val="top"/>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1.</w:t>
            </w:r>
            <w:r>
              <w:rPr>
                <w:rFonts w:hint="eastAsia" w:ascii="方正仿宋_GB2312" w:hAnsi="方正仿宋_GB2312" w:eastAsia="方正仿宋_GB2312" w:cs="方正仿宋_GB2312"/>
                <w:b w:val="0"/>
                <w:bCs/>
                <w:sz w:val="22"/>
                <w:szCs w:val="22"/>
                <w:vertAlign w:val="baseline"/>
              </w:rPr>
              <w:t>严格执行作息制度按时上下班，无故迟到或早退扣2分。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default" w:ascii="方正仿宋_GB2312" w:hAnsi="方正仿宋_GB2312" w:eastAsia="方正仿宋_GB2312" w:cs="方正仿宋_GB2312"/>
                <w:b w:val="0"/>
                <w:bCs/>
                <w:sz w:val="22"/>
                <w:szCs w:val="22"/>
                <w:vertAlign w:val="baseline"/>
                <w:lang w:val="en-US" w:eastAsia="zh-CN"/>
              </w:rPr>
              <w:t>2.</w:t>
            </w:r>
            <w:r>
              <w:rPr>
                <w:rFonts w:hint="eastAsia" w:ascii="方正仿宋_GB2312" w:hAnsi="方正仿宋_GB2312" w:eastAsia="方正仿宋_GB2312" w:cs="方正仿宋_GB2312"/>
                <w:b w:val="0"/>
                <w:bCs/>
                <w:sz w:val="22"/>
                <w:szCs w:val="22"/>
                <w:vertAlign w:val="baseline"/>
                <w:lang w:val="en-US" w:eastAsia="zh-CN"/>
              </w:rPr>
              <w:t>宿舍水、电、门窗、玻璃、床铺、空调等报修要及时，且要跟踪查看是否维修，对只报修不落实，每次扣1分，造成一定影响的每次扣5分，最多扣10分，并追究相关人责任。</w:t>
            </w:r>
            <w:r>
              <w:rPr>
                <w:rFonts w:hint="eastAsia" w:ascii="方正仿宋_GB2312" w:hAnsi="方正仿宋_GB2312" w:eastAsia="方正仿宋_GB2312" w:cs="方正仿宋_GB2312"/>
                <w:b w:val="0"/>
                <w:bCs/>
                <w:sz w:val="22"/>
                <w:szCs w:val="22"/>
                <w:vertAlign w:val="baseline"/>
                <w:lang w:val="en-US" w:eastAsia="zh-CN"/>
              </w:rPr>
              <w:br w:type="textWrapping"/>
            </w:r>
            <w:r>
              <w:rPr>
                <w:rFonts w:hint="default" w:ascii="方正仿宋_GB2312" w:hAnsi="方正仿宋_GB2312" w:eastAsia="方正仿宋_GB2312" w:cs="方正仿宋_GB2312"/>
                <w:b w:val="0"/>
                <w:bCs/>
                <w:sz w:val="22"/>
                <w:szCs w:val="22"/>
                <w:vertAlign w:val="baseline"/>
                <w:lang w:val="en-US" w:eastAsia="zh-CN"/>
              </w:rPr>
              <w:t>3.</w:t>
            </w:r>
            <w:r>
              <w:rPr>
                <w:rFonts w:hint="eastAsia" w:ascii="方正仿宋_GB2312" w:hAnsi="方正仿宋_GB2312" w:eastAsia="方正仿宋_GB2312" w:cs="方正仿宋_GB2312"/>
                <w:b w:val="0"/>
                <w:bCs/>
                <w:sz w:val="22"/>
                <w:szCs w:val="22"/>
                <w:vertAlign w:val="baseline"/>
                <w:lang w:val="en-US" w:eastAsia="zh-CN"/>
              </w:rPr>
              <w:t>.宿舍有失盗的根据轻重每次扣1-5分，最多扣10分。</w:t>
            </w:r>
            <w:r>
              <w:rPr>
                <w:rFonts w:hint="eastAsia" w:ascii="方正仿宋_GB2312" w:hAnsi="方正仿宋_GB2312" w:eastAsia="方正仿宋_GB2312" w:cs="方正仿宋_GB2312"/>
                <w:b w:val="0"/>
                <w:bCs/>
                <w:sz w:val="22"/>
                <w:szCs w:val="22"/>
                <w:vertAlign w:val="baseline"/>
                <w:lang w:val="en-US" w:eastAsia="zh-CN"/>
              </w:rPr>
              <w:br w:type="textWrapping"/>
            </w:r>
            <w:r>
              <w:rPr>
                <w:rFonts w:hint="default" w:ascii="方正仿宋_GB2312" w:hAnsi="方正仿宋_GB2312" w:eastAsia="方正仿宋_GB2312" w:cs="方正仿宋_GB2312"/>
                <w:b w:val="0"/>
                <w:bCs/>
                <w:sz w:val="22"/>
                <w:szCs w:val="22"/>
                <w:vertAlign w:val="baseline"/>
                <w:lang w:val="en-US" w:eastAsia="zh-CN"/>
              </w:rPr>
              <w:t>4</w:t>
            </w:r>
            <w:r>
              <w:rPr>
                <w:rFonts w:hint="eastAsia" w:ascii="方正仿宋_GB2312" w:hAnsi="方正仿宋_GB2312" w:eastAsia="方正仿宋_GB2312" w:cs="方正仿宋_GB2312"/>
                <w:b w:val="0"/>
                <w:bCs/>
                <w:sz w:val="22"/>
                <w:szCs w:val="22"/>
                <w:vertAlign w:val="baseline"/>
                <w:lang w:val="en-US" w:eastAsia="zh-CN"/>
              </w:rPr>
              <w:t>.没按规定时间锁好宿舍大门每次扣1分，没按时锁大门夜间有学生外出的每次扣5分，最多扣10分。</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restart"/>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（二）环境卫生</w:t>
            </w:r>
          </w:p>
        </w:tc>
        <w:tc>
          <w:tcPr>
            <w:tcW w:w="4950" w:type="dxa"/>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1.地面有垃圾杂物不干净，卫生死角有垃圾污渍，地面有落叶不及时清扫，绿化带看到明显垃圾，废绿种菜，每次扣1分，最多扣5分。</w:t>
            </w:r>
            <w:r>
              <w:rPr>
                <w:rFonts w:hint="eastAsia" w:ascii="方正仿宋_GB2312" w:hAnsi="方正仿宋_GB2312" w:eastAsia="方正仿宋_GB2312" w:cs="方正仿宋_GB2312"/>
                <w:b w:val="0"/>
                <w:bCs/>
                <w:sz w:val="22"/>
                <w:szCs w:val="22"/>
                <w:vertAlign w:val="baseline"/>
                <w:lang w:val="en-US" w:eastAsia="zh-CN"/>
              </w:rPr>
              <w:br w:type="textWrapping"/>
            </w:r>
            <w:r>
              <w:rPr>
                <w:rFonts w:hint="eastAsia" w:ascii="方正仿宋_GB2312" w:hAnsi="方正仿宋_GB2312" w:eastAsia="方正仿宋_GB2312" w:cs="方正仿宋_GB2312"/>
                <w:b w:val="0"/>
                <w:bCs/>
                <w:sz w:val="22"/>
                <w:szCs w:val="22"/>
                <w:vertAlign w:val="baseline"/>
                <w:lang w:val="en-US" w:eastAsia="zh-CN"/>
              </w:rPr>
              <w:t>2.楼梯及扶手、楼层走道每天保持干净无垃圾灰尘，墙壁、贴画、屋顶无污渍、蜘蛛网，检查不达标准每次扣1分，没打扫每次扣3分，最多扣5分。</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（三）卫生检查</w:t>
            </w:r>
          </w:p>
        </w:tc>
        <w:tc>
          <w:tcPr>
            <w:tcW w:w="4950" w:type="dxa"/>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1.检查宿舍内务及卫生，要做到公平、公正原则，如因工作马虎造成学生投诉的每次扣1分，最多扣5分。</w:t>
            </w:r>
            <w:r>
              <w:rPr>
                <w:rFonts w:hint="eastAsia" w:ascii="方正仿宋_GB2312" w:hAnsi="方正仿宋_GB2312" w:eastAsia="方正仿宋_GB2312" w:cs="方正仿宋_GB2312"/>
                <w:b w:val="0"/>
                <w:bCs/>
                <w:sz w:val="22"/>
                <w:szCs w:val="22"/>
                <w:vertAlign w:val="baseline"/>
                <w:lang w:val="en-US" w:eastAsia="zh-CN"/>
              </w:rPr>
              <w:br w:type="textWrapping"/>
            </w:r>
            <w:r>
              <w:rPr>
                <w:rFonts w:hint="eastAsia" w:ascii="方正仿宋_GB2312" w:hAnsi="方正仿宋_GB2312" w:eastAsia="方正仿宋_GB2312" w:cs="方正仿宋_GB2312"/>
                <w:b w:val="0"/>
                <w:bCs/>
                <w:sz w:val="22"/>
                <w:szCs w:val="22"/>
                <w:vertAlign w:val="baseline"/>
                <w:lang w:val="en-US" w:eastAsia="zh-CN"/>
              </w:rPr>
              <w:t>2.检查结果反馈不及时的每次扣1分，最多扣5分。</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（四）就寝纪律</w:t>
            </w:r>
            <w:r>
              <w:rPr>
                <w:rFonts w:hint="eastAsia" w:ascii="方正仿宋_GB2312" w:hAnsi="方正仿宋_GB2312" w:eastAsia="方正仿宋_GB2312" w:cs="方正仿宋_GB2312"/>
                <w:b/>
                <w:bCs w:val="0"/>
                <w:sz w:val="22"/>
                <w:szCs w:val="22"/>
                <w:vertAlign w:val="baseline"/>
                <w:lang w:val="en-US" w:eastAsia="zh-CN"/>
              </w:rPr>
              <w:br w:type="textWrapping"/>
            </w:r>
          </w:p>
        </w:tc>
        <w:tc>
          <w:tcPr>
            <w:tcW w:w="4950" w:type="dxa"/>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1.就寝时间段，管理员一定要在各楼栋内巡查以确保发现问题及时处理，若检查时人不在岗的每次扣1分，晚就寝有讲话、亮灯宿舍要及时反馈，对有讲话、亮灯的宿舍不及时制止影响学生休息的每次扣5分，最多扣10分。</w:t>
            </w:r>
            <w:r>
              <w:rPr>
                <w:rFonts w:hint="eastAsia" w:ascii="方正仿宋_GB2312" w:hAnsi="方正仿宋_GB2312" w:eastAsia="方正仿宋_GB2312" w:cs="方正仿宋_GB2312"/>
                <w:b w:val="0"/>
                <w:bCs/>
                <w:sz w:val="22"/>
                <w:szCs w:val="22"/>
                <w:vertAlign w:val="baseline"/>
                <w:lang w:val="en-US" w:eastAsia="zh-CN"/>
              </w:rPr>
              <w:br w:type="textWrapping"/>
            </w:r>
            <w:r>
              <w:rPr>
                <w:rFonts w:hint="eastAsia" w:ascii="方正仿宋_GB2312" w:hAnsi="方正仿宋_GB2312" w:eastAsia="方正仿宋_GB2312" w:cs="方正仿宋_GB2312"/>
                <w:b w:val="0"/>
                <w:bCs/>
                <w:sz w:val="22"/>
                <w:szCs w:val="22"/>
                <w:vertAlign w:val="baseline"/>
                <w:lang w:val="en-US" w:eastAsia="zh-CN"/>
              </w:rPr>
              <w:t>2.有不归学生要及时联系班主任核实，如学生失联对工作不负责任造成严重后果的每次扣5分，最多扣10分，并追究相关人责任。</w:t>
            </w:r>
            <w:r>
              <w:rPr>
                <w:rFonts w:hint="eastAsia" w:ascii="方正仿宋_GB2312" w:hAnsi="方正仿宋_GB2312" w:eastAsia="方正仿宋_GB2312" w:cs="方正仿宋_GB2312"/>
                <w:b w:val="0"/>
                <w:bCs/>
                <w:sz w:val="22"/>
                <w:szCs w:val="22"/>
                <w:vertAlign w:val="baseline"/>
                <w:lang w:val="en-US" w:eastAsia="zh-CN"/>
              </w:rPr>
              <w:br w:type="textWrapping"/>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pPr>
              <w:pStyle w:val="178"/>
              <w:spacing w:line="500" w:lineRule="exact"/>
              <w:jc w:val="center"/>
              <w:rPr>
                <w:rFonts w:hint="eastAsia" w:ascii="方正仿宋_GBK" w:hAnsi="方正仿宋_GBK" w:eastAsia="方正仿宋_GBK" w:cs="方正仿宋_GBK"/>
                <w:b/>
                <w:sz w:val="24"/>
                <w:szCs w:val="24"/>
                <w:vertAlign w:val="baseline"/>
                <w:lang w:val="en-US" w:eastAsia="zh-CN"/>
              </w:rPr>
            </w:pPr>
            <w:r>
              <w:rPr>
                <w:rFonts w:hint="eastAsia" w:ascii="方正仿宋_GBK" w:hAnsi="方正仿宋_GBK" w:eastAsia="方正仿宋_GBK" w:cs="方正仿宋_GBK"/>
                <w:b/>
                <w:sz w:val="24"/>
                <w:szCs w:val="24"/>
                <w:vertAlign w:val="baseline"/>
                <w:lang w:val="en-US" w:eastAsia="zh-CN"/>
              </w:rPr>
              <w:t>3</w:t>
            </w:r>
          </w:p>
        </w:tc>
        <w:tc>
          <w:tcPr>
            <w:tcW w:w="795" w:type="dxa"/>
            <w:vMerge w:val="restart"/>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水电工考核（</w:t>
            </w:r>
            <w:r>
              <w:rPr>
                <w:rFonts w:hint="eastAsia" w:ascii="方正仿宋_GBK" w:hAnsi="方正仿宋_GBK" w:eastAsia="方正仿宋_GBK" w:cs="方正仿宋_GBK"/>
                <w:b/>
                <w:sz w:val="24"/>
                <w:szCs w:val="24"/>
                <w:vertAlign w:val="baseline"/>
                <w:lang w:val="en-US" w:eastAsia="zh-CN"/>
              </w:rPr>
              <w:t>25分</w:t>
            </w:r>
            <w:r>
              <w:rPr>
                <w:rFonts w:hint="eastAsia" w:ascii="方正仿宋_GBK" w:hAnsi="方正仿宋_GBK" w:eastAsia="方正仿宋_GBK" w:cs="方正仿宋_GBK"/>
                <w:b/>
                <w:sz w:val="24"/>
                <w:szCs w:val="24"/>
                <w:vertAlign w:val="baseline"/>
                <w:lang w:eastAsia="zh-CN"/>
              </w:rPr>
              <w:t>）</w:t>
            </w: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（一）维修维护效率</w:t>
            </w:r>
          </w:p>
        </w:tc>
        <w:tc>
          <w:tcPr>
            <w:tcW w:w="4950" w:type="dxa"/>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 xml:space="preserve">1.接到报修后，普通维修30分钟内到场（紧急情况10分钟），每延迟1次扣1分。  </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 xml:space="preserve">2.当月维修任务完成率≥95%，每降低1%扣1分。  </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3.同一问题7天内重复报修次数≤1次，每超1次扣1分</w:t>
            </w:r>
            <w:r>
              <w:rPr>
                <w:rFonts w:hint="default" w:ascii="方正仿宋_GB2312" w:hAnsi="方正仿宋_GB2312" w:eastAsia="方正仿宋_GB2312" w:cs="方正仿宋_GB2312"/>
                <w:b w:val="0"/>
                <w:bCs/>
                <w:sz w:val="22"/>
                <w:szCs w:val="22"/>
                <w:vertAlign w:val="baseline"/>
                <w:lang w:val="en-US" w:eastAsia="zh-CN"/>
              </w:rPr>
              <w:t>(</w:t>
            </w:r>
            <w:r>
              <w:rPr>
                <w:rFonts w:hint="eastAsia" w:ascii="方正仿宋_GB2312" w:hAnsi="方正仿宋_GB2312" w:eastAsia="方正仿宋_GB2312" w:cs="方正仿宋_GB2312"/>
                <w:b w:val="0"/>
                <w:bCs/>
                <w:sz w:val="22"/>
                <w:szCs w:val="22"/>
                <w:vertAlign w:val="baseline"/>
                <w:lang w:val="en-US" w:eastAsia="zh-CN"/>
              </w:rPr>
              <w:t xml:space="preserve">人为故意损坏除外）。 </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restart"/>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（二）安全管理</w:t>
            </w:r>
          </w:p>
        </w:tc>
        <w:tc>
          <w:tcPr>
            <w:tcW w:w="4950" w:type="dxa"/>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 xml:space="preserve">1.无违规带电/带水作业、防护设备佩戴齐全，违规1次扣2分。  </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 xml:space="preserve">2.每周对水电进行安全巡查至少一次，做好记录；若没有安全巡查或巡查了没有按时记录的，每周扣除2分。  </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（三）节能降耗</w:t>
            </w:r>
          </w:p>
        </w:tc>
        <w:tc>
          <w:tcPr>
            <w:tcW w:w="4950" w:type="dxa"/>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 xml:space="preserve">发现管道漏水、设备空耗未及时处理，每例扣2分。 </w:t>
            </w: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795" w:type="dxa"/>
            <w:vMerge w:val="continue"/>
            <w:vAlign w:val="center"/>
          </w:tcPr>
          <w:p>
            <w:pPr>
              <w:pStyle w:val="178"/>
              <w:spacing w:line="500" w:lineRule="exact"/>
              <w:jc w:val="center"/>
              <w:rPr>
                <w:rFonts w:hint="eastAsia" w:ascii="方正仿宋_GBK" w:hAnsi="方正仿宋_GBK" w:eastAsia="方正仿宋_GBK" w:cs="方正仿宋_GBK"/>
                <w:b/>
                <w:sz w:val="24"/>
                <w:szCs w:val="24"/>
                <w:vertAlign w:val="baseline"/>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（四）其他事项</w:t>
            </w:r>
          </w:p>
        </w:tc>
        <w:tc>
          <w:tcPr>
            <w:tcW w:w="4950" w:type="dxa"/>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1.</w:t>
            </w:r>
            <w:r>
              <w:rPr>
                <w:rFonts w:hint="eastAsia" w:ascii="方正仿宋_GB2312" w:hAnsi="方正仿宋_GB2312" w:eastAsia="方正仿宋_GB2312" w:cs="方正仿宋_GB2312"/>
                <w:b w:val="0"/>
                <w:bCs/>
                <w:sz w:val="22"/>
                <w:szCs w:val="22"/>
                <w:vertAlign w:val="baseline"/>
              </w:rPr>
              <w:t>严格执行作息制度按时上下班，无故迟到或早退扣2分。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 xml:space="preserve">2.定期检查配电箱、水泵房等设施，缺检1次扣1分。  </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3.突发停水停电时，30分钟内启动应急处理，延迟扣2分。</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1020" w:type="dxa"/>
          </w:tcPr>
          <w:p>
            <w:pPr>
              <w:pStyle w:val="178"/>
              <w:spacing w:line="500" w:lineRule="exact"/>
              <w:rPr>
                <w:rFonts w:hint="eastAsia" w:ascii="方正仿宋_GBK" w:hAnsi="方正仿宋_GBK" w:eastAsia="方正仿宋_GBK" w:cs="方正仿宋_GBK"/>
                <w:b/>
                <w:sz w:val="24"/>
                <w:szCs w:val="24"/>
                <w:vertAlign w:val="baseline"/>
              </w:rPr>
            </w:pPr>
          </w:p>
        </w:tc>
        <w:tc>
          <w:tcPr>
            <w:tcW w:w="975" w:type="dxa"/>
            <w:vMerge w:val="continue"/>
          </w:tcPr>
          <w:p>
            <w:pPr>
              <w:pStyle w:val="178"/>
              <w:spacing w:line="500" w:lineRule="exact"/>
              <w:rPr>
                <w:rFonts w:hint="eastAsia" w:ascii="方正仿宋_GBK" w:hAnsi="方正仿宋_GBK" w:eastAsia="方正仿宋_GBK" w:cs="方正仿宋_GBK"/>
                <w:b/>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pPr>
              <w:pStyle w:val="178"/>
              <w:spacing w:line="500" w:lineRule="exact"/>
              <w:jc w:val="center"/>
              <w:rPr>
                <w:rFonts w:hint="default" w:ascii="方正仿宋_GBK" w:hAnsi="方正仿宋_GBK" w:eastAsia="方正仿宋_GBK" w:cs="方正仿宋_GBK"/>
                <w:b/>
                <w:sz w:val="24"/>
                <w:szCs w:val="24"/>
                <w:vertAlign w:val="baseline"/>
                <w:lang w:val="en-US" w:eastAsia="zh-CN"/>
              </w:rPr>
            </w:pPr>
            <w:r>
              <w:rPr>
                <w:rFonts w:hint="eastAsia" w:ascii="方正仿宋_GBK" w:hAnsi="方正仿宋_GBK" w:eastAsia="方正仿宋_GBK" w:cs="方正仿宋_GBK"/>
                <w:b/>
                <w:sz w:val="24"/>
                <w:szCs w:val="24"/>
                <w:vertAlign w:val="baseline"/>
                <w:lang w:val="en-US" w:eastAsia="zh-CN"/>
              </w:rPr>
              <w:t>4</w:t>
            </w:r>
          </w:p>
        </w:tc>
        <w:tc>
          <w:tcPr>
            <w:tcW w:w="795" w:type="dxa"/>
            <w:vMerge w:val="restart"/>
            <w:vAlign w:val="center"/>
          </w:tcPr>
          <w:p>
            <w:pPr>
              <w:pStyle w:val="178"/>
              <w:spacing w:line="500" w:lineRule="exact"/>
              <w:jc w:val="center"/>
              <w:rPr>
                <w:rFonts w:hint="eastAsia" w:ascii="方正仿宋_GBK" w:hAnsi="方正仿宋_GBK" w:eastAsia="方正仿宋_GBK" w:cs="方正仿宋_GBK"/>
                <w:b/>
                <w:sz w:val="24"/>
                <w:szCs w:val="24"/>
                <w:vertAlign w:val="baseline"/>
                <w:lang w:val="en-US" w:eastAsia="zh-CN"/>
              </w:rPr>
            </w:pPr>
            <w:r>
              <w:rPr>
                <w:rFonts w:hint="eastAsia" w:ascii="方正仿宋_GBK" w:hAnsi="方正仿宋_GBK" w:eastAsia="方正仿宋_GBK" w:cs="方正仿宋_GBK"/>
                <w:b/>
                <w:sz w:val="24"/>
                <w:szCs w:val="24"/>
                <w:vertAlign w:val="baseline"/>
                <w:lang w:val="en-US" w:eastAsia="zh-CN"/>
              </w:rPr>
              <w:t>其他</w:t>
            </w: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1</w:t>
            </w:r>
          </w:p>
        </w:tc>
        <w:tc>
          <w:tcPr>
            <w:tcW w:w="5970" w:type="dxa"/>
            <w:gridSpan w:val="2"/>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因后勤管理不当，造成校内突发情况，每例处罚1000元，并由供应商无偿负责相应突发事件造成的经济损失。</w:t>
            </w:r>
          </w:p>
        </w:tc>
        <w:tc>
          <w:tcPr>
            <w:tcW w:w="975" w:type="dxa"/>
            <w:vMerge w:val="restart"/>
            <w:vAlign w:val="center"/>
          </w:tcPr>
          <w:p>
            <w:pPr>
              <w:pStyle w:val="153"/>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kern w:val="2"/>
                <w:sz w:val="22"/>
                <w:szCs w:val="22"/>
                <w:vertAlign w:val="baseline"/>
                <w:lang w:val="en-US" w:eastAsia="zh-CN" w:bidi="ar-SA"/>
              </w:rPr>
            </w:pPr>
            <w:r>
              <w:rPr>
                <w:rFonts w:hint="eastAsia" w:ascii="方正仿宋_GB2312" w:hAnsi="方正仿宋_GB2312" w:eastAsia="方正仿宋_GB2312" w:cs="方正仿宋_GB2312"/>
                <w:b w:val="0"/>
                <w:bCs/>
                <w:kern w:val="2"/>
                <w:sz w:val="22"/>
                <w:szCs w:val="22"/>
                <w:vertAlign w:val="baseline"/>
                <w:lang w:val="en-US" w:eastAsia="zh-CN" w:bidi="ar-SA"/>
              </w:rPr>
              <w:t>本项</w:t>
            </w:r>
          </w:p>
          <w:p>
            <w:pPr>
              <w:pStyle w:val="153"/>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kern w:val="2"/>
                <w:sz w:val="22"/>
                <w:szCs w:val="22"/>
                <w:vertAlign w:val="baseline"/>
                <w:lang w:val="en-US" w:eastAsia="zh-CN" w:bidi="ar-SA"/>
              </w:rPr>
            </w:pPr>
            <w:r>
              <w:rPr>
                <w:rFonts w:hint="eastAsia" w:ascii="方正仿宋_GB2312" w:hAnsi="方正仿宋_GB2312" w:eastAsia="方正仿宋_GB2312" w:cs="方正仿宋_GB2312"/>
                <w:b w:val="0"/>
                <w:bCs/>
                <w:kern w:val="2"/>
                <w:sz w:val="22"/>
                <w:szCs w:val="22"/>
                <w:vertAlign w:val="baseline"/>
                <w:lang w:val="en-US" w:eastAsia="zh-CN" w:bidi="ar-SA"/>
              </w:rPr>
              <w:t>在每</w:t>
            </w:r>
          </w:p>
          <w:p>
            <w:pPr>
              <w:pStyle w:val="153"/>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kern w:val="2"/>
                <w:sz w:val="22"/>
                <w:szCs w:val="22"/>
                <w:vertAlign w:val="baseline"/>
                <w:lang w:val="en-US" w:eastAsia="zh-CN" w:bidi="ar-SA"/>
              </w:rPr>
            </w:pPr>
            <w:r>
              <w:rPr>
                <w:rFonts w:hint="eastAsia" w:ascii="方正仿宋_GB2312" w:hAnsi="方正仿宋_GB2312" w:eastAsia="方正仿宋_GB2312" w:cs="方正仿宋_GB2312"/>
                <w:b w:val="0"/>
                <w:bCs/>
                <w:kern w:val="2"/>
                <w:sz w:val="22"/>
                <w:szCs w:val="22"/>
                <w:vertAlign w:val="baseline"/>
                <w:lang w:val="en-US" w:eastAsia="zh-CN" w:bidi="ar-SA"/>
              </w:rPr>
              <w:t>月考</w:t>
            </w:r>
          </w:p>
          <w:p>
            <w:pPr>
              <w:pStyle w:val="153"/>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kern w:val="2"/>
                <w:sz w:val="22"/>
                <w:szCs w:val="22"/>
                <w:vertAlign w:val="baseline"/>
                <w:lang w:val="en-US" w:eastAsia="zh-CN" w:bidi="ar-SA"/>
              </w:rPr>
            </w:pPr>
            <w:r>
              <w:rPr>
                <w:rFonts w:hint="eastAsia" w:ascii="方正仿宋_GB2312" w:hAnsi="方正仿宋_GB2312" w:eastAsia="方正仿宋_GB2312" w:cs="方正仿宋_GB2312"/>
                <w:b w:val="0"/>
                <w:bCs/>
                <w:kern w:val="2"/>
                <w:sz w:val="22"/>
                <w:szCs w:val="22"/>
                <w:vertAlign w:val="baseline"/>
                <w:lang w:val="en-US" w:eastAsia="zh-CN" w:bidi="ar-SA"/>
              </w:rPr>
              <w:t>核的</w:t>
            </w:r>
          </w:p>
          <w:p>
            <w:pPr>
              <w:pStyle w:val="153"/>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kern w:val="2"/>
                <w:sz w:val="22"/>
                <w:szCs w:val="22"/>
                <w:vertAlign w:val="baseline"/>
                <w:lang w:val="en-US" w:eastAsia="zh-CN" w:bidi="ar-SA"/>
              </w:rPr>
            </w:pPr>
            <w:r>
              <w:rPr>
                <w:rFonts w:hint="eastAsia" w:ascii="方正仿宋_GB2312" w:hAnsi="方正仿宋_GB2312" w:eastAsia="方正仿宋_GB2312" w:cs="方正仿宋_GB2312"/>
                <w:b w:val="0"/>
                <w:bCs/>
                <w:kern w:val="2"/>
                <w:sz w:val="22"/>
                <w:szCs w:val="22"/>
                <w:vertAlign w:val="baseline"/>
                <w:lang w:val="en-US" w:eastAsia="zh-CN" w:bidi="ar-SA"/>
              </w:rPr>
              <w:t>基础</w:t>
            </w:r>
          </w:p>
          <w:p>
            <w:pPr>
              <w:pStyle w:val="153"/>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kern w:val="2"/>
                <w:sz w:val="22"/>
                <w:szCs w:val="22"/>
                <w:vertAlign w:val="baseline"/>
                <w:lang w:val="en-US" w:eastAsia="zh-CN" w:bidi="ar-SA"/>
              </w:rPr>
            </w:pPr>
            <w:r>
              <w:rPr>
                <w:rFonts w:hint="eastAsia" w:ascii="方正仿宋_GB2312" w:hAnsi="方正仿宋_GB2312" w:eastAsia="方正仿宋_GB2312" w:cs="方正仿宋_GB2312"/>
                <w:b w:val="0"/>
                <w:bCs/>
                <w:kern w:val="2"/>
                <w:sz w:val="22"/>
                <w:szCs w:val="22"/>
                <w:vertAlign w:val="baseline"/>
                <w:lang w:val="en-US" w:eastAsia="zh-CN" w:bidi="ar-SA"/>
              </w:rPr>
              <w:t>上直</w:t>
            </w:r>
          </w:p>
          <w:p>
            <w:pPr>
              <w:pStyle w:val="153"/>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kern w:val="2"/>
                <w:sz w:val="22"/>
                <w:szCs w:val="22"/>
                <w:vertAlign w:val="baseline"/>
                <w:lang w:val="en-US" w:eastAsia="zh-CN" w:bidi="ar-SA"/>
              </w:rPr>
            </w:pPr>
            <w:r>
              <w:rPr>
                <w:rFonts w:hint="eastAsia" w:ascii="方正仿宋_GB2312" w:hAnsi="方正仿宋_GB2312" w:eastAsia="方正仿宋_GB2312" w:cs="方正仿宋_GB2312"/>
                <w:b w:val="0"/>
                <w:bCs/>
                <w:kern w:val="2"/>
                <w:sz w:val="22"/>
                <w:szCs w:val="22"/>
                <w:vertAlign w:val="baseline"/>
                <w:lang w:val="en-US" w:eastAsia="zh-CN" w:bidi="ar-SA"/>
              </w:rPr>
              <w:t>接处</w:t>
            </w:r>
          </w:p>
          <w:p>
            <w:pPr>
              <w:pStyle w:val="153"/>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kern w:val="2"/>
                <w:sz w:val="22"/>
                <w:szCs w:val="22"/>
                <w:vertAlign w:val="baseline"/>
                <w:lang w:val="en-US" w:eastAsia="zh-CN" w:bidi="ar-SA"/>
              </w:rPr>
            </w:pPr>
            <w:r>
              <w:rPr>
                <w:rFonts w:hint="eastAsia" w:ascii="方正仿宋_GB2312" w:hAnsi="方正仿宋_GB2312" w:eastAsia="方正仿宋_GB2312" w:cs="方正仿宋_GB2312"/>
                <w:b w:val="0"/>
                <w:bCs/>
                <w:kern w:val="2"/>
                <w:sz w:val="22"/>
                <w:szCs w:val="22"/>
                <w:vertAlign w:val="baseline"/>
                <w:lang w:val="en-US" w:eastAsia="zh-CN" w:bidi="ar-SA"/>
              </w:rPr>
              <w:t>以罚</w:t>
            </w:r>
          </w:p>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kern w:val="2"/>
                <w:sz w:val="22"/>
                <w:szCs w:val="22"/>
                <w:vertAlign w:val="baseline"/>
                <w:lang w:val="en-US" w:eastAsia="zh-CN" w:bidi="ar-SA"/>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795"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2</w:t>
            </w:r>
          </w:p>
        </w:tc>
        <w:tc>
          <w:tcPr>
            <w:tcW w:w="5970" w:type="dxa"/>
            <w:gridSpan w:val="2"/>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供应商未及时按月足额发放人员工资，拖欠人员工资超过15天，按双倍扣除供应商所欠员工资额。</w:t>
            </w:r>
          </w:p>
        </w:tc>
        <w:tc>
          <w:tcPr>
            <w:tcW w:w="975" w:type="dxa"/>
            <w:vMerge w:val="continue"/>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795"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3</w:t>
            </w:r>
          </w:p>
        </w:tc>
        <w:tc>
          <w:tcPr>
            <w:tcW w:w="5970" w:type="dxa"/>
            <w:gridSpan w:val="2"/>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遇上级领导批评或被外来检查、媒体曝光或通报批评校内相关后勤工作的，视情节轻重，每一例处罚500-5000元。</w:t>
            </w:r>
          </w:p>
        </w:tc>
        <w:tc>
          <w:tcPr>
            <w:tcW w:w="975" w:type="dxa"/>
            <w:vMerge w:val="continue"/>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795"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4</w:t>
            </w:r>
          </w:p>
        </w:tc>
        <w:tc>
          <w:tcPr>
            <w:tcW w:w="5970" w:type="dxa"/>
            <w:gridSpan w:val="2"/>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遇12345等热线投诉或网络问政，经查明由于后勤工作管理不当、失职等造成的，每一例处罚1000元。</w:t>
            </w:r>
          </w:p>
        </w:tc>
        <w:tc>
          <w:tcPr>
            <w:tcW w:w="975" w:type="dxa"/>
            <w:vMerge w:val="continue"/>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795"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5</w:t>
            </w:r>
          </w:p>
        </w:tc>
        <w:tc>
          <w:tcPr>
            <w:tcW w:w="5970" w:type="dxa"/>
            <w:gridSpan w:val="2"/>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校内后勤工作所接触的相关设施设备坏损未上报，而被校内工作人员先行检查发现的，人为破坏的每一例处罚2000元并负责无偿维修；自然损耗的，每一例处罚200元。</w:t>
            </w:r>
          </w:p>
        </w:tc>
        <w:tc>
          <w:tcPr>
            <w:tcW w:w="975" w:type="dxa"/>
            <w:vMerge w:val="continue"/>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795" w:type="dxa"/>
            <w:vMerge w:val="continue"/>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c>
          <w:tcPr>
            <w:tcW w:w="1260" w:type="dxa"/>
            <w:vAlign w:val="center"/>
          </w:tcPr>
          <w:p>
            <w:pPr>
              <w:pStyle w:val="178"/>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方正仿宋_GB2312" w:hAnsi="方正仿宋_GB2312" w:eastAsia="方正仿宋_GB2312" w:cs="方正仿宋_GB2312"/>
                <w:b/>
                <w:bCs w:val="0"/>
                <w:sz w:val="22"/>
                <w:szCs w:val="22"/>
                <w:vertAlign w:val="baseline"/>
                <w:lang w:val="en-US" w:eastAsia="zh-CN"/>
              </w:rPr>
            </w:pPr>
            <w:r>
              <w:rPr>
                <w:rFonts w:hint="eastAsia" w:ascii="方正仿宋_GB2312" w:hAnsi="方正仿宋_GB2312" w:eastAsia="方正仿宋_GB2312" w:cs="方正仿宋_GB2312"/>
                <w:b/>
                <w:bCs w:val="0"/>
                <w:sz w:val="22"/>
                <w:szCs w:val="22"/>
                <w:vertAlign w:val="baseline"/>
                <w:lang w:val="en-US" w:eastAsia="zh-CN"/>
              </w:rPr>
              <w:t>6</w:t>
            </w:r>
          </w:p>
        </w:tc>
        <w:tc>
          <w:tcPr>
            <w:tcW w:w="5970" w:type="dxa"/>
            <w:gridSpan w:val="2"/>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未及时按要求完成校内任务交办单所交办的工作或通过电话、短信、微信等方式临时交办的工作的，每一例处罚500元。</w:t>
            </w:r>
          </w:p>
        </w:tc>
        <w:tc>
          <w:tcPr>
            <w:tcW w:w="975" w:type="dxa"/>
            <w:vMerge w:val="continue"/>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pPr>
              <w:pStyle w:val="178"/>
              <w:spacing w:line="500" w:lineRule="exact"/>
              <w:jc w:val="center"/>
              <w:rPr>
                <w:rFonts w:hint="eastAsia" w:ascii="方正仿宋_GBK" w:hAnsi="方正仿宋_GBK" w:eastAsia="方正仿宋_GBK" w:cs="方正仿宋_GBK"/>
                <w:b/>
                <w:sz w:val="24"/>
                <w:szCs w:val="24"/>
                <w:vertAlign w:val="baseline"/>
                <w:lang w:val="en-US" w:eastAsia="zh-CN"/>
              </w:rPr>
            </w:pPr>
            <w:r>
              <w:rPr>
                <w:rFonts w:hint="eastAsia" w:ascii="方正仿宋_GBK" w:hAnsi="方正仿宋_GBK" w:eastAsia="方正仿宋_GBK" w:cs="方正仿宋_GBK"/>
                <w:b/>
                <w:sz w:val="24"/>
                <w:szCs w:val="24"/>
                <w:vertAlign w:val="baseline"/>
                <w:lang w:val="en-US" w:eastAsia="zh-CN"/>
              </w:rPr>
              <w:t>5</w:t>
            </w:r>
          </w:p>
        </w:tc>
        <w:tc>
          <w:tcPr>
            <w:tcW w:w="795" w:type="dxa"/>
            <w:vAlign w:val="center"/>
          </w:tcPr>
          <w:p>
            <w:pPr>
              <w:pStyle w:val="178"/>
              <w:spacing w:line="500" w:lineRule="exact"/>
              <w:jc w:val="center"/>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备注</w:t>
            </w:r>
          </w:p>
        </w:tc>
        <w:tc>
          <w:tcPr>
            <w:tcW w:w="8205" w:type="dxa"/>
            <w:gridSpan w:val="4"/>
            <w:vAlign w:val="center"/>
          </w:tcPr>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default" w:ascii="方正仿宋_GB2312" w:hAnsi="方正仿宋_GB2312" w:eastAsia="方正仿宋_GB2312" w:cs="方正仿宋_GB2312"/>
                <w:b w:val="0"/>
                <w:bCs/>
                <w:sz w:val="22"/>
                <w:szCs w:val="22"/>
                <w:vertAlign w:val="baseline"/>
                <w:lang w:val="en-US" w:eastAsia="zh-CN"/>
              </w:rPr>
              <w:t>1</w:t>
            </w:r>
            <w:r>
              <w:rPr>
                <w:rFonts w:hint="eastAsia" w:ascii="方正仿宋_GB2312" w:hAnsi="方正仿宋_GB2312" w:eastAsia="方正仿宋_GB2312" w:cs="方正仿宋_GB2312"/>
                <w:b w:val="0"/>
                <w:bCs/>
                <w:sz w:val="22"/>
                <w:szCs w:val="22"/>
                <w:vertAlign w:val="baseline"/>
                <w:lang w:val="en-US" w:eastAsia="zh-CN"/>
              </w:rPr>
              <w:t>、考核方对被考核方的管理实施日常考核，考核小组由各学校后勤处3名人员组成，对发现的问题以书面的形式向被考核方反馈并经被考核方签字后按考核内容及标准计入考核档案，每季度向教育办汇总一次。</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2、各学校作为中标单位的服务对象，应按照考核表每周对中标单位进行考核；教育办作为监督管理部门，不定期抽检考核，考核结果占季度考核成绩的30%，若教育办未进行抽查，则以学校考核为准；由教育办审核后根据考核结果付款。</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2312" w:hAnsi="方正仿宋_GB2312" w:eastAsia="方正仿宋_GB2312" w:cs="方正仿宋_GB2312"/>
                <w:b w:val="0"/>
                <w:bCs/>
                <w:sz w:val="22"/>
                <w:szCs w:val="22"/>
                <w:vertAlign w:val="baseline"/>
                <w:lang w:val="en-US" w:eastAsia="zh-CN"/>
              </w:rPr>
            </w:pPr>
            <w:r>
              <w:rPr>
                <w:rFonts w:hint="eastAsia" w:ascii="方正仿宋_GB2312" w:hAnsi="方正仿宋_GB2312" w:eastAsia="方正仿宋_GB2312" w:cs="方正仿宋_GB2312"/>
                <w:b w:val="0"/>
                <w:bCs/>
                <w:sz w:val="22"/>
                <w:szCs w:val="22"/>
                <w:vertAlign w:val="baseline"/>
                <w:lang w:val="en-US" w:eastAsia="zh-CN"/>
              </w:rPr>
              <w:t>3、被考核方未签字确认时，经考核方3人以上考核组签字的考核表有效。</w:t>
            </w:r>
          </w:p>
          <w:p>
            <w:pPr>
              <w:pStyle w:val="178"/>
              <w:keepNext w:val="0"/>
              <w:keepLines w:val="0"/>
              <w:pageBreakBefore w:val="0"/>
              <w:kinsoku/>
              <w:wordWrap/>
              <w:overflowPunct/>
              <w:topLinePunct w:val="0"/>
              <w:autoSpaceDE/>
              <w:autoSpaceDN/>
              <w:bidi w:val="0"/>
              <w:adjustRightInd/>
              <w:snapToGrid/>
              <w:spacing w:line="280" w:lineRule="exact"/>
              <w:textAlignment w:val="auto"/>
              <w:rPr>
                <w:rFonts w:hint="eastAsia" w:ascii="方正仿宋_GBK" w:hAnsi="方正仿宋_GBK" w:eastAsia="方正仿宋_GBK" w:cs="方正仿宋_GBK"/>
                <w:b/>
                <w:sz w:val="24"/>
                <w:szCs w:val="24"/>
                <w:vertAlign w:val="baseline"/>
              </w:rPr>
            </w:pPr>
            <w:r>
              <w:rPr>
                <w:rFonts w:hint="eastAsia" w:ascii="方正仿宋_GB2312" w:hAnsi="方正仿宋_GB2312" w:eastAsia="方正仿宋_GB2312" w:cs="方正仿宋_GB2312"/>
                <w:b w:val="0"/>
                <w:bCs/>
                <w:sz w:val="22"/>
                <w:szCs w:val="22"/>
                <w:vertAlign w:val="baseline"/>
                <w:lang w:val="en-US" w:eastAsia="zh-CN"/>
              </w:rPr>
              <w:t>4、考核方对该工作考核打分表拥有最终解释权。</w:t>
            </w:r>
            <w:bookmarkStart w:id="182" w:name="_GoBack"/>
            <w:bookmarkEnd w:id="1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gridSpan w:val="2"/>
          </w:tcPr>
          <w:p>
            <w:pPr>
              <w:pStyle w:val="178"/>
              <w:spacing w:line="500" w:lineRule="exact"/>
              <w:rPr>
                <w:rFonts w:hint="eastAsia" w:ascii="方正仿宋_GBK" w:hAnsi="方正仿宋_GBK" w:eastAsia="方正仿宋_GBK" w:cs="方正仿宋_GBK"/>
                <w:b/>
                <w:sz w:val="24"/>
                <w:szCs w:val="24"/>
                <w:vertAlign w:val="baseline"/>
                <w:lang w:eastAsia="zh-CN"/>
              </w:rPr>
            </w:pPr>
            <w:r>
              <w:rPr>
                <w:rFonts w:hint="eastAsia" w:ascii="方正仿宋_GBK" w:hAnsi="方正仿宋_GBK" w:eastAsia="方正仿宋_GBK" w:cs="方正仿宋_GBK"/>
                <w:b/>
                <w:sz w:val="24"/>
                <w:szCs w:val="24"/>
                <w:vertAlign w:val="baseline"/>
                <w:lang w:eastAsia="zh-CN"/>
              </w:rPr>
              <w:t>评分合计</w:t>
            </w:r>
          </w:p>
        </w:tc>
        <w:tc>
          <w:tcPr>
            <w:tcW w:w="8205" w:type="dxa"/>
            <w:gridSpan w:val="4"/>
            <w:vAlign w:val="center"/>
          </w:tcPr>
          <w:p>
            <w:pPr>
              <w:pStyle w:val="178"/>
              <w:spacing w:line="500" w:lineRule="exact"/>
              <w:rPr>
                <w:rFonts w:hint="eastAsia" w:ascii="方正仿宋_GB2312" w:hAnsi="方正仿宋_GB2312" w:eastAsia="方正仿宋_GB2312" w:cs="方正仿宋_GB2312"/>
                <w:b w:val="0"/>
                <w:bCs/>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0" w:type="dxa"/>
            <w:gridSpan w:val="6"/>
          </w:tcPr>
          <w:p>
            <w:pPr>
              <w:pStyle w:val="178"/>
              <w:spacing w:line="500" w:lineRule="exact"/>
              <w:rPr>
                <w:rFonts w:hint="eastAsia" w:ascii="方正仿宋_GB2312" w:hAnsi="方正仿宋_GB2312" w:eastAsia="方正仿宋_GB2312" w:cs="方正仿宋_GB2312"/>
                <w:b w:val="0"/>
                <w:bCs/>
                <w:sz w:val="22"/>
                <w:szCs w:val="22"/>
                <w:vertAlign w:val="baseline"/>
                <w:lang w:val="en-US" w:eastAsia="zh-CN"/>
              </w:rPr>
            </w:pPr>
            <w:r>
              <w:rPr>
                <w:rFonts w:hint="eastAsia" w:ascii="仿宋" w:hAnsi="仿宋" w:eastAsia="仿宋" w:cs="仿宋"/>
                <w:i w:val="0"/>
                <w:iCs w:val="0"/>
                <w:color w:val="000000"/>
                <w:sz w:val="21"/>
                <w:szCs w:val="21"/>
                <w:highlight w:val="none"/>
                <w:u w:val="none"/>
                <w:lang w:val="en-US" w:eastAsia="zh-CN" w:bidi="ar"/>
              </w:rPr>
              <w:t xml:space="preserve">被考核单位负责人签字：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0" w:type="dxa"/>
            <w:gridSpan w:val="6"/>
          </w:tcPr>
          <w:p>
            <w:pPr>
              <w:pStyle w:val="178"/>
              <w:spacing w:line="500" w:lineRule="exact"/>
              <w:rPr>
                <w:rFonts w:hint="eastAsia" w:ascii="方正仿宋_GB2312" w:hAnsi="方正仿宋_GB2312" w:eastAsia="方正仿宋_GB2312" w:cs="方正仿宋_GB2312"/>
                <w:b w:val="0"/>
                <w:bCs/>
                <w:sz w:val="22"/>
                <w:szCs w:val="22"/>
                <w:vertAlign w:val="baseline"/>
                <w:lang w:val="en-US" w:eastAsia="zh-CN"/>
              </w:rPr>
            </w:pPr>
            <w:r>
              <w:rPr>
                <w:rFonts w:hint="eastAsia" w:ascii="仿宋" w:hAnsi="仿宋" w:eastAsia="仿宋" w:cs="仿宋"/>
                <w:i w:val="0"/>
                <w:iCs w:val="0"/>
                <w:color w:val="000000"/>
                <w:sz w:val="21"/>
                <w:szCs w:val="21"/>
                <w:highlight w:val="none"/>
                <w:u w:val="none"/>
                <w:lang w:val="en-US" w:eastAsia="zh-CN" w:bidi="ar"/>
              </w:rPr>
              <w:t xml:space="preserve">  检查人签字：</w:t>
            </w:r>
          </w:p>
        </w:tc>
      </w:tr>
    </w:tbl>
    <w:p>
      <w:pPr>
        <w:pStyle w:val="178"/>
        <w:widowControl/>
        <w:spacing w:before="94" w:after="94" w:line="560" w:lineRule="exact"/>
        <w:ind w:firstLine="480"/>
        <w:jc w:val="left"/>
        <w:rPr>
          <w:rFonts w:ascii="方正仿宋_GBK" w:hAnsi="方正仿宋_GBK" w:eastAsia="方正仿宋_GBK" w:cs="方正仿宋_GBK"/>
          <w:bCs/>
          <w:sz w:val="24"/>
          <w:szCs w:val="24"/>
        </w:rPr>
      </w:pPr>
    </w:p>
    <w:bookmarkEnd w:id="130"/>
    <w:bookmarkEnd w:id="131"/>
    <w:bookmarkEnd w:id="132"/>
    <w:bookmarkEnd w:id="133"/>
    <w:bookmarkEnd w:id="134"/>
    <w:p>
      <w:pPr>
        <w:rPr>
          <w:color w:val="000080"/>
          <w:sz w:val="20"/>
          <w:highlight w:val="white"/>
        </w:rPr>
      </w:pPr>
      <w:bookmarkStart w:id="145" w:name="_Toc20823346"/>
      <w:bookmarkStart w:id="146" w:name="_Hlt16619350"/>
      <w:bookmarkStart w:id="147" w:name="_Toc120614244"/>
      <w:bookmarkStart w:id="148" w:name="_Toc16938590"/>
      <w:bookmarkStart w:id="149" w:name="_Toc462564139"/>
      <w:bookmarkStart w:id="150" w:name="_Toc479757211"/>
      <w:r>
        <w:rPr>
          <w:rFonts w:hint="eastAsia"/>
          <w:color w:val="000080"/>
          <w:sz w:val="20"/>
          <w:highlight w:val="white"/>
        </w:rPr>
        <w:t xml:space="preserve"> </w:t>
      </w:r>
    </w:p>
    <w:p>
      <w:r>
        <w:rPr>
          <w:rFonts w:eastAsia="黑体"/>
          <w:bCs/>
          <w:sz w:val="44"/>
        </w:rPr>
        <w:br w:type="page"/>
      </w:r>
      <w:r>
        <w:rPr>
          <w:rFonts w:hint="eastAsia" w:eastAsia="黑体"/>
          <w:bCs/>
          <w:sz w:val="44"/>
        </w:rPr>
        <w:t xml:space="preserve">            </w:t>
      </w:r>
      <w:bookmarkEnd w:id="145"/>
      <w:bookmarkEnd w:id="146"/>
      <w:bookmarkEnd w:id="147"/>
      <w:bookmarkEnd w:id="148"/>
      <w:bookmarkStart w:id="151" w:name="_Toc120614281"/>
      <w:bookmarkStart w:id="152" w:name="_Toc26554093"/>
      <w:bookmarkStart w:id="153" w:name="_Toc49090575"/>
    </w:p>
    <w:p>
      <w:pPr>
        <w:pStyle w:val="2"/>
        <w:rPr>
          <w:rFonts w:ascii="Times New Roman" w:eastAsia="黑体"/>
          <w:bCs/>
          <w:sz w:val="44"/>
        </w:rPr>
      </w:pPr>
      <w:bookmarkStart w:id="154" w:name="_Toc8112"/>
      <w:bookmarkStart w:id="155" w:name="_Toc23474"/>
      <w:r>
        <w:rPr>
          <w:rFonts w:hint="eastAsia" w:ascii="Times New Roman" w:eastAsia="黑体"/>
          <w:bCs/>
          <w:sz w:val="44"/>
        </w:rPr>
        <w:t>第六章  投标</w:t>
      </w:r>
      <w:bookmarkEnd w:id="151"/>
      <w:bookmarkEnd w:id="152"/>
      <w:bookmarkEnd w:id="153"/>
      <w:r>
        <w:rPr>
          <w:rFonts w:hint="eastAsia" w:ascii="Times New Roman" w:eastAsia="黑体"/>
          <w:bCs/>
          <w:sz w:val="44"/>
        </w:rPr>
        <w:t>文件格式</w:t>
      </w:r>
      <w:bookmarkEnd w:id="154"/>
      <w:bookmarkEnd w:id="155"/>
      <w:r>
        <w:rPr>
          <w:rFonts w:hint="eastAsia" w:ascii="Times New Roman" w:eastAsia="黑体"/>
          <w:bCs/>
          <w:sz w:val="44"/>
        </w:rPr>
        <w:t xml:space="preserve"> </w:t>
      </w:r>
    </w:p>
    <w:p>
      <w:pPr>
        <w:jc w:val="center"/>
        <w:rPr>
          <w:b/>
          <w:sz w:val="72"/>
        </w:rPr>
      </w:pPr>
      <w:bookmarkStart w:id="156" w:name="_Hlt26955039"/>
      <w:bookmarkEnd w:id="156"/>
      <w:bookmarkStart w:id="157" w:name="_Hlt26671244"/>
      <w:bookmarkEnd w:id="157"/>
      <w:bookmarkStart w:id="158" w:name="_Toc120614282"/>
      <w:bookmarkStart w:id="159" w:name="_Toc26554094"/>
      <w:bookmarkStart w:id="160" w:name="_Toc49090576"/>
    </w:p>
    <w:p>
      <w:pPr>
        <w:jc w:val="center"/>
        <w:rPr>
          <w:b/>
          <w:sz w:val="72"/>
        </w:rPr>
      </w:pPr>
      <w:r>
        <w:rPr>
          <w:rFonts w:hint="eastAsia"/>
          <w:b/>
          <w:sz w:val="72"/>
        </w:rPr>
        <w:t>投  标  文  件</w:t>
      </w:r>
    </w:p>
    <w:p>
      <w:pPr>
        <w:jc w:val="center"/>
        <w:rPr>
          <w:b/>
          <w:sz w:val="72"/>
        </w:rPr>
      </w:pPr>
    </w:p>
    <w:p>
      <w:pPr>
        <w:jc w:val="center"/>
        <w:rPr>
          <w:b/>
          <w:sz w:val="72"/>
        </w:rPr>
      </w:pPr>
    </w:p>
    <w:p>
      <w:pPr>
        <w:jc w:val="center"/>
        <w:rPr>
          <w:b/>
          <w:sz w:val="36"/>
        </w:rPr>
      </w:pPr>
    </w:p>
    <w:p>
      <w:pPr>
        <w:jc w:val="center"/>
        <w:rPr>
          <w:b/>
          <w:sz w:val="36"/>
        </w:rPr>
      </w:pPr>
    </w:p>
    <w:p>
      <w:pPr>
        <w:jc w:val="center"/>
        <w:rPr>
          <w:b/>
          <w:sz w:val="36"/>
        </w:rPr>
      </w:pPr>
    </w:p>
    <w:p>
      <w:pPr>
        <w:ind w:firstLine="1084" w:firstLineChars="300"/>
        <w:rPr>
          <w:b/>
          <w:sz w:val="36"/>
        </w:rPr>
      </w:pPr>
      <w:r>
        <w:rPr>
          <w:rFonts w:hint="eastAsia"/>
          <w:b/>
          <w:sz w:val="36"/>
        </w:rPr>
        <w:t>项 目 名 称：</w:t>
      </w:r>
      <w:r>
        <w:rPr>
          <w:rFonts w:hint="eastAsia"/>
          <w:b/>
          <w:sz w:val="36"/>
          <w:u w:val="single"/>
        </w:rPr>
        <w:t xml:space="preserve">               </w:t>
      </w:r>
    </w:p>
    <w:p>
      <w:pPr>
        <w:ind w:firstLine="1084" w:firstLineChars="300"/>
        <w:rPr>
          <w:b/>
          <w:sz w:val="36"/>
          <w:u w:val="single"/>
        </w:rPr>
      </w:pPr>
      <w:r>
        <w:rPr>
          <w:rFonts w:hint="eastAsia"/>
          <w:b/>
          <w:sz w:val="36"/>
        </w:rPr>
        <w:t>项 目 编 号：</w:t>
      </w:r>
      <w:r>
        <w:rPr>
          <w:rFonts w:hint="eastAsia"/>
          <w:b/>
          <w:sz w:val="36"/>
          <w:u w:val="single"/>
        </w:rPr>
        <w:t xml:space="preserve">               </w:t>
      </w:r>
    </w:p>
    <w:p>
      <w:pPr>
        <w:rPr>
          <w:b/>
          <w:sz w:val="36"/>
          <w:u w:val="single"/>
        </w:rPr>
      </w:pPr>
      <w:r>
        <w:rPr>
          <w:rFonts w:hint="eastAsia"/>
          <w:b/>
          <w:sz w:val="36"/>
        </w:rPr>
        <w:t xml:space="preserve">      投标人名称 ：</w:t>
      </w:r>
      <w:r>
        <w:rPr>
          <w:rFonts w:hint="eastAsia"/>
          <w:b/>
          <w:sz w:val="36"/>
          <w:u w:val="single"/>
        </w:rPr>
        <w:t>（加盖CA电子公章）</w:t>
      </w:r>
    </w:p>
    <w:p>
      <w:pPr>
        <w:rPr>
          <w:b/>
          <w:sz w:val="36"/>
          <w:u w:val="single"/>
        </w:rPr>
      </w:pPr>
      <w:r>
        <w:rPr>
          <w:rFonts w:hint="eastAsia"/>
          <w:b/>
          <w:sz w:val="36"/>
        </w:rPr>
        <w:t xml:space="preserve">      日      期 ：</w:t>
      </w:r>
      <w:r>
        <w:rPr>
          <w:rFonts w:hint="eastAsia"/>
          <w:b/>
          <w:sz w:val="36"/>
          <w:u w:val="single"/>
        </w:rPr>
        <w:t xml:space="preserve">               </w:t>
      </w:r>
    </w:p>
    <w:p>
      <w:pPr>
        <w:spacing w:line="440" w:lineRule="exact"/>
        <w:jc w:val="center"/>
        <w:rPr>
          <w:b/>
          <w:bCs/>
          <w:sz w:val="32"/>
          <w:szCs w:val="32"/>
        </w:rPr>
      </w:pPr>
    </w:p>
    <w:p>
      <w:pPr>
        <w:spacing w:line="440" w:lineRule="exact"/>
      </w:pPr>
    </w:p>
    <w:p>
      <w:pPr>
        <w:ind w:firstLine="1084" w:firstLineChars="300"/>
        <w:rPr>
          <w:b/>
          <w:bCs/>
          <w:sz w:val="32"/>
          <w:szCs w:val="32"/>
        </w:rPr>
      </w:pPr>
      <w:r>
        <w:rPr>
          <w:b/>
          <w:sz w:val="36"/>
          <w:u w:val="single"/>
        </w:rPr>
        <w:br w:type="page"/>
      </w:r>
    </w:p>
    <w:p>
      <w:pPr>
        <w:spacing w:line="440" w:lineRule="exact"/>
        <w:jc w:val="center"/>
        <w:rPr>
          <w:b/>
          <w:bCs/>
          <w:sz w:val="32"/>
          <w:szCs w:val="32"/>
        </w:rPr>
      </w:pPr>
      <w:r>
        <w:rPr>
          <w:rFonts w:hint="eastAsia"/>
          <w:b/>
          <w:bCs/>
          <w:sz w:val="32"/>
          <w:szCs w:val="32"/>
        </w:rPr>
        <w:t>投标文件目录</w:t>
      </w:r>
    </w:p>
    <w:p>
      <w:pPr>
        <w:spacing w:line="440" w:lineRule="exact"/>
        <w:jc w:val="center"/>
        <w:rPr>
          <w:b/>
          <w:bCs/>
          <w:sz w:val="32"/>
          <w:szCs w:val="32"/>
        </w:rPr>
      </w:pPr>
    </w:p>
    <w:p>
      <w:pPr>
        <w:spacing w:line="600" w:lineRule="exact"/>
        <w:ind w:firstLine="560"/>
        <w:rPr>
          <w:rFonts w:cs="宋体"/>
          <w:sz w:val="28"/>
          <w:szCs w:val="28"/>
        </w:rPr>
      </w:pPr>
      <w:r>
        <w:rPr>
          <w:rFonts w:hint="eastAsia" w:cs="宋体"/>
          <w:sz w:val="28"/>
          <w:szCs w:val="28"/>
        </w:rPr>
        <w:t>一、投标声明及承诺函</w:t>
      </w:r>
    </w:p>
    <w:p>
      <w:pPr>
        <w:spacing w:line="600" w:lineRule="exact"/>
        <w:ind w:firstLine="560"/>
        <w:rPr>
          <w:rFonts w:cs="宋体"/>
          <w:sz w:val="28"/>
          <w:szCs w:val="28"/>
        </w:rPr>
      </w:pPr>
      <w:r>
        <w:rPr>
          <w:rFonts w:hint="eastAsia" w:cs="宋体"/>
          <w:sz w:val="28"/>
          <w:szCs w:val="28"/>
        </w:rPr>
        <w:t>二、投标人基本情况</w:t>
      </w:r>
    </w:p>
    <w:p>
      <w:pPr>
        <w:spacing w:line="600" w:lineRule="exact"/>
        <w:ind w:firstLine="560"/>
        <w:rPr>
          <w:rFonts w:cs="宋体"/>
          <w:sz w:val="28"/>
          <w:szCs w:val="28"/>
        </w:rPr>
      </w:pPr>
      <w:r>
        <w:rPr>
          <w:rFonts w:hint="eastAsia" w:cs="宋体"/>
          <w:sz w:val="28"/>
          <w:szCs w:val="28"/>
        </w:rPr>
        <w:t>三、法人授权书</w:t>
      </w:r>
    </w:p>
    <w:p>
      <w:pPr>
        <w:spacing w:line="600" w:lineRule="exact"/>
        <w:ind w:firstLine="560"/>
        <w:rPr>
          <w:rFonts w:cs="宋体"/>
          <w:sz w:val="28"/>
          <w:szCs w:val="28"/>
        </w:rPr>
      </w:pPr>
      <w:r>
        <w:rPr>
          <w:rFonts w:hint="eastAsia" w:cs="宋体"/>
          <w:sz w:val="28"/>
          <w:szCs w:val="28"/>
        </w:rPr>
        <w:t>四、开标一览表</w:t>
      </w:r>
    </w:p>
    <w:p>
      <w:pPr>
        <w:spacing w:line="600" w:lineRule="exact"/>
        <w:ind w:firstLine="560"/>
        <w:rPr>
          <w:rFonts w:cs="宋体"/>
          <w:sz w:val="28"/>
          <w:szCs w:val="28"/>
        </w:rPr>
      </w:pPr>
      <w:r>
        <w:rPr>
          <w:rFonts w:hint="eastAsia" w:cs="宋体"/>
          <w:sz w:val="28"/>
          <w:szCs w:val="28"/>
        </w:rPr>
        <w:t>五、投标报价明细表</w:t>
      </w:r>
    </w:p>
    <w:p>
      <w:pPr>
        <w:spacing w:line="600" w:lineRule="exact"/>
        <w:ind w:firstLine="560"/>
        <w:rPr>
          <w:rFonts w:cs="宋体"/>
          <w:sz w:val="28"/>
          <w:szCs w:val="28"/>
        </w:rPr>
      </w:pPr>
      <w:r>
        <w:rPr>
          <w:rFonts w:hint="eastAsia" w:cs="宋体"/>
          <w:sz w:val="28"/>
          <w:szCs w:val="28"/>
        </w:rPr>
        <w:t>六、中小企业声明函</w:t>
      </w:r>
    </w:p>
    <w:p>
      <w:pPr>
        <w:spacing w:line="600" w:lineRule="exact"/>
        <w:ind w:firstLine="560"/>
        <w:rPr>
          <w:rFonts w:cs="宋体"/>
          <w:sz w:val="28"/>
          <w:szCs w:val="28"/>
        </w:rPr>
      </w:pPr>
      <w:r>
        <w:rPr>
          <w:rFonts w:hint="eastAsia" w:cs="宋体"/>
          <w:sz w:val="28"/>
          <w:szCs w:val="28"/>
        </w:rPr>
        <w:t>七、技术要求响应及偏离表</w:t>
      </w:r>
    </w:p>
    <w:p>
      <w:pPr>
        <w:spacing w:line="600" w:lineRule="exact"/>
        <w:ind w:firstLine="560"/>
        <w:rPr>
          <w:rFonts w:cs="宋体"/>
          <w:sz w:val="28"/>
          <w:szCs w:val="28"/>
        </w:rPr>
      </w:pPr>
      <w:r>
        <w:rPr>
          <w:rFonts w:hint="eastAsia" w:cs="宋体"/>
          <w:sz w:val="28"/>
          <w:szCs w:val="28"/>
        </w:rPr>
        <w:t>八、主要部件、辅材明细表</w:t>
      </w:r>
    </w:p>
    <w:p>
      <w:pPr>
        <w:spacing w:line="600" w:lineRule="exact"/>
        <w:ind w:firstLine="560"/>
        <w:rPr>
          <w:rFonts w:cs="宋体"/>
          <w:sz w:val="28"/>
          <w:szCs w:val="28"/>
        </w:rPr>
      </w:pPr>
      <w:r>
        <w:rPr>
          <w:rFonts w:hint="eastAsia" w:cs="宋体"/>
          <w:sz w:val="28"/>
          <w:szCs w:val="28"/>
        </w:rPr>
        <w:t>九、企业业绩</w:t>
      </w:r>
    </w:p>
    <w:p>
      <w:pPr>
        <w:spacing w:line="600" w:lineRule="exact"/>
        <w:ind w:firstLine="560"/>
        <w:rPr>
          <w:rFonts w:cs="宋体"/>
          <w:sz w:val="28"/>
          <w:szCs w:val="28"/>
        </w:rPr>
      </w:pPr>
      <w:r>
        <w:rPr>
          <w:rFonts w:hint="eastAsia" w:cs="宋体"/>
          <w:sz w:val="28"/>
          <w:szCs w:val="28"/>
        </w:rPr>
        <w:t>十、人员配备要求承诺函</w:t>
      </w:r>
    </w:p>
    <w:p>
      <w:pPr>
        <w:spacing w:line="600" w:lineRule="exact"/>
        <w:ind w:firstLine="560"/>
        <w:rPr>
          <w:rFonts w:cs="宋体"/>
          <w:sz w:val="28"/>
          <w:szCs w:val="28"/>
        </w:rPr>
      </w:pPr>
      <w:r>
        <w:rPr>
          <w:rFonts w:hint="eastAsia" w:cs="宋体"/>
          <w:sz w:val="28"/>
          <w:szCs w:val="28"/>
        </w:rPr>
        <w:t>十一、项目实施方案</w:t>
      </w:r>
    </w:p>
    <w:p>
      <w:pPr>
        <w:spacing w:line="600" w:lineRule="exact"/>
        <w:ind w:firstLine="560"/>
        <w:rPr>
          <w:rFonts w:cs="宋体"/>
          <w:sz w:val="28"/>
          <w:szCs w:val="28"/>
        </w:rPr>
      </w:pPr>
      <w:r>
        <w:rPr>
          <w:rFonts w:hint="eastAsia" w:cs="宋体"/>
          <w:sz w:val="28"/>
          <w:szCs w:val="28"/>
        </w:rPr>
        <w:t>十二、项目组人员</w:t>
      </w:r>
    </w:p>
    <w:p>
      <w:pPr>
        <w:spacing w:line="600" w:lineRule="exact"/>
        <w:ind w:firstLine="560"/>
        <w:rPr>
          <w:rFonts w:cs="宋体"/>
          <w:sz w:val="28"/>
          <w:szCs w:val="28"/>
        </w:rPr>
      </w:pPr>
      <w:r>
        <w:rPr>
          <w:rFonts w:hint="eastAsia" w:cs="宋体"/>
          <w:sz w:val="28"/>
          <w:szCs w:val="28"/>
        </w:rPr>
        <w:t>十三、投标人承担类似项目业绩一览表</w:t>
      </w:r>
    </w:p>
    <w:p>
      <w:pPr>
        <w:spacing w:line="600" w:lineRule="exact"/>
        <w:ind w:firstLine="560"/>
        <w:rPr>
          <w:rFonts w:cs="宋体"/>
          <w:sz w:val="28"/>
          <w:szCs w:val="28"/>
        </w:rPr>
      </w:pPr>
      <w:r>
        <w:rPr>
          <w:rFonts w:hint="eastAsia" w:cs="宋体"/>
          <w:sz w:val="28"/>
          <w:szCs w:val="28"/>
        </w:rPr>
        <w:t>十四、投标所需其他材料</w:t>
      </w:r>
    </w:p>
    <w:p>
      <w:pPr>
        <w:spacing w:line="600" w:lineRule="exact"/>
        <w:ind w:firstLine="560"/>
        <w:rPr>
          <w:rFonts w:cs="宋体"/>
          <w:sz w:val="28"/>
          <w:szCs w:val="28"/>
        </w:rPr>
      </w:pPr>
    </w:p>
    <w:p>
      <w:pPr>
        <w:spacing w:line="440" w:lineRule="exact"/>
        <w:ind w:firstLine="480" w:firstLineChars="200"/>
        <w:rPr>
          <w:sz w:val="24"/>
        </w:rPr>
      </w:pPr>
    </w:p>
    <w:p>
      <w:pPr>
        <w:spacing w:line="440" w:lineRule="exact"/>
        <w:ind w:firstLine="480" w:firstLineChars="200"/>
        <w:rPr>
          <w:sz w:val="24"/>
        </w:rPr>
      </w:pPr>
    </w:p>
    <w:p>
      <w:pPr>
        <w:spacing w:line="440" w:lineRule="exact"/>
        <w:ind w:firstLine="480" w:firstLineChars="200"/>
        <w:rPr>
          <w:sz w:val="24"/>
        </w:rPr>
      </w:pPr>
    </w:p>
    <w:p>
      <w:pPr>
        <w:spacing w:line="440" w:lineRule="exact"/>
        <w:ind w:firstLine="480" w:firstLineChars="200"/>
        <w:rPr>
          <w:sz w:val="24"/>
        </w:rPr>
      </w:pPr>
    </w:p>
    <w:p>
      <w:pPr>
        <w:spacing w:line="440" w:lineRule="exact"/>
        <w:ind w:firstLine="480" w:firstLineChars="200"/>
        <w:rPr>
          <w:sz w:val="24"/>
        </w:rPr>
      </w:pPr>
    </w:p>
    <w:p>
      <w:pPr>
        <w:pStyle w:val="89"/>
      </w:pPr>
      <w:bookmarkStart w:id="161" w:name="_Toc23838"/>
    </w:p>
    <w:p>
      <w:pPr>
        <w:pStyle w:val="89"/>
      </w:pPr>
    </w:p>
    <w:p>
      <w:pPr>
        <w:pStyle w:val="89"/>
      </w:pPr>
    </w:p>
    <w:p>
      <w:pPr>
        <w:pStyle w:val="89"/>
      </w:pPr>
      <w:r>
        <w:br w:type="page"/>
      </w:r>
    </w:p>
    <w:bookmarkEnd w:id="161"/>
    <w:p>
      <w:pPr>
        <w:pStyle w:val="147"/>
        <w:rPr>
          <w:rFonts w:ascii="Times New Roman" w:hAnsi="Times New Roman"/>
          <w:b/>
          <w:sz w:val="32"/>
          <w:szCs w:val="32"/>
        </w:rPr>
      </w:pPr>
      <w:r>
        <w:rPr>
          <w:rFonts w:hint="eastAsia" w:ascii="Times New Roman" w:hAnsi="Times New Roman"/>
          <w:b/>
          <w:sz w:val="32"/>
          <w:szCs w:val="32"/>
        </w:rPr>
        <w:t>一、</w:t>
      </w:r>
      <w:bookmarkEnd w:id="158"/>
      <w:bookmarkEnd w:id="159"/>
      <w:bookmarkEnd w:id="160"/>
      <w:bookmarkStart w:id="162" w:name="_Toc120614284"/>
      <w:r>
        <w:rPr>
          <w:rFonts w:hint="eastAsia" w:ascii="Times New Roman" w:hAnsi="Times New Roman"/>
          <w:b/>
          <w:sz w:val="32"/>
          <w:szCs w:val="32"/>
        </w:rPr>
        <w:t>投标声明及承诺函</w:t>
      </w:r>
    </w:p>
    <w:p>
      <w:pPr>
        <w:pStyle w:val="147"/>
        <w:spacing w:line="500" w:lineRule="exact"/>
        <w:jc w:val="left"/>
        <w:rPr>
          <w:rFonts w:ascii="Times New Roman" w:hAnsi="Times New Roman" w:eastAsia="方正仿宋_GBK"/>
          <w:sz w:val="24"/>
          <w:szCs w:val="24"/>
          <w:u w:val="single"/>
        </w:rPr>
      </w:pPr>
    </w:p>
    <w:p>
      <w:pPr>
        <w:pStyle w:val="147"/>
        <w:spacing w:line="500" w:lineRule="exact"/>
        <w:jc w:val="left"/>
        <w:rPr>
          <w:rFonts w:ascii="Times New Roman" w:hAnsi="Times New Roman" w:eastAsia="方正仿宋_GBK"/>
          <w:sz w:val="24"/>
          <w:szCs w:val="24"/>
          <w:u w:val="single"/>
        </w:rPr>
      </w:pPr>
      <w:r>
        <w:rPr>
          <w:rFonts w:hint="eastAsia" w:ascii="Times New Roman" w:hAnsi="Times New Roman" w:eastAsia="方正仿宋_GBK"/>
          <w:sz w:val="24"/>
          <w:szCs w:val="24"/>
          <w:u w:val="single"/>
        </w:rPr>
        <w:t>（采购单位名称）：</w:t>
      </w:r>
    </w:p>
    <w:p>
      <w:pPr>
        <w:pStyle w:val="147"/>
        <w:spacing w:line="500" w:lineRule="exact"/>
        <w:ind w:firstLine="480"/>
        <w:jc w:val="left"/>
        <w:rPr>
          <w:rFonts w:ascii="Times New Roman" w:hAnsi="Times New Roman" w:eastAsia="方正仿宋_GBK"/>
          <w:sz w:val="24"/>
          <w:szCs w:val="24"/>
        </w:rPr>
      </w:pPr>
      <w:r>
        <w:rPr>
          <w:rFonts w:hint="eastAsia" w:ascii="Times New Roman" w:hAnsi="Times New Roman" w:eastAsia="方正仿宋_GBK"/>
          <w:sz w:val="24"/>
          <w:szCs w:val="24"/>
        </w:rPr>
        <w:t>根据已收到的项目编号为</w:t>
      </w:r>
      <w:r>
        <w:rPr>
          <w:rFonts w:hint="eastAsia" w:ascii="Times New Roman" w:hAnsi="Times New Roman" w:eastAsia="方正仿宋_GBK"/>
          <w:sz w:val="24"/>
          <w:szCs w:val="24"/>
          <w:u w:val="single"/>
        </w:rPr>
        <w:t xml:space="preserve">        </w:t>
      </w:r>
      <w:r>
        <w:rPr>
          <w:rFonts w:hint="eastAsia" w:ascii="Times New Roman" w:hAnsi="Times New Roman" w:eastAsia="方正仿宋_GBK"/>
          <w:sz w:val="24"/>
          <w:szCs w:val="24"/>
        </w:rPr>
        <w:t>的</w:t>
      </w:r>
      <w:r>
        <w:rPr>
          <w:rFonts w:hint="eastAsia" w:ascii="Times New Roman" w:hAnsi="Times New Roman" w:eastAsia="方正仿宋_GBK"/>
          <w:sz w:val="24"/>
          <w:szCs w:val="24"/>
          <w:u w:val="single"/>
        </w:rPr>
        <w:t xml:space="preserve">         </w:t>
      </w:r>
      <w:r>
        <w:rPr>
          <w:rFonts w:hint="eastAsia" w:ascii="Times New Roman" w:hAnsi="Times New Roman" w:eastAsia="方正仿宋_GBK"/>
          <w:sz w:val="24"/>
          <w:szCs w:val="24"/>
        </w:rPr>
        <w:t>项目的招标文件，我方在参加本项目招投标活动中，特做出如下承诺：</w:t>
      </w:r>
    </w:p>
    <w:p>
      <w:pPr>
        <w:pStyle w:val="147"/>
        <w:spacing w:line="500" w:lineRule="exact"/>
        <w:ind w:firstLine="480"/>
        <w:jc w:val="left"/>
        <w:rPr>
          <w:rFonts w:ascii="Times New Roman" w:hAnsi="Times New Roman" w:eastAsia="方正仿宋_GBK"/>
          <w:sz w:val="24"/>
        </w:rPr>
      </w:pPr>
      <w:r>
        <w:rPr>
          <w:rFonts w:hint="eastAsia" w:ascii="Times New Roman" w:hAnsi="Times New Roman" w:eastAsia="方正仿宋_GBK"/>
          <w:sz w:val="24"/>
          <w:szCs w:val="24"/>
        </w:rPr>
        <w:t>一、我方</w:t>
      </w:r>
      <w:r>
        <w:rPr>
          <w:rFonts w:ascii="Times New Roman" w:hAnsi="Times New Roman" w:eastAsia="方正仿宋_GBK"/>
          <w:sz w:val="24"/>
          <w:highlight w:val="white"/>
        </w:rPr>
        <w:t>具备《中华人民共和国政府采购法》第二十二条第一款规定的6项条件；</w:t>
      </w:r>
    </w:p>
    <w:p>
      <w:pPr>
        <w:pStyle w:val="147"/>
        <w:spacing w:line="500" w:lineRule="exact"/>
        <w:ind w:firstLine="480"/>
        <w:jc w:val="left"/>
        <w:rPr>
          <w:rFonts w:ascii="Times New Roman" w:hAnsi="Times New Roman" w:eastAsia="方正仿宋_GBK"/>
          <w:sz w:val="24"/>
          <w:szCs w:val="24"/>
        </w:rPr>
      </w:pPr>
      <w:r>
        <w:rPr>
          <w:rFonts w:hint="eastAsia" w:ascii="Times New Roman" w:hAnsi="Times New Roman" w:eastAsia="方正仿宋_GBK"/>
          <w:sz w:val="24"/>
          <w:szCs w:val="24"/>
        </w:rPr>
        <w:t>二、我方在参加政府采购活动前三年内（自本项目开标时间之日起计算），在经营活动中没有重大违法记录（指因违法经营受到刑事处罚或者责令停产停业、吊销许可证或者执照、较大数额罚款等行政处罚）。</w:t>
      </w:r>
    </w:p>
    <w:p>
      <w:pPr>
        <w:pStyle w:val="147"/>
        <w:spacing w:line="500" w:lineRule="exact"/>
        <w:ind w:firstLine="480"/>
        <w:jc w:val="left"/>
        <w:rPr>
          <w:rFonts w:ascii="Times New Roman" w:hAnsi="Times New Roman" w:eastAsia="方正仿宋_GBK"/>
          <w:sz w:val="24"/>
          <w:szCs w:val="24"/>
        </w:rPr>
      </w:pPr>
      <w:r>
        <w:rPr>
          <w:rFonts w:hint="eastAsia" w:ascii="Times New Roman" w:hAnsi="Times New Roman" w:eastAsia="方正仿宋_GBK"/>
          <w:sz w:val="24"/>
          <w:szCs w:val="24"/>
        </w:rPr>
        <w:t>三、我方按招标文件要求提交投标文件，响应招标文件规定的投标有效期；</w:t>
      </w:r>
    </w:p>
    <w:p>
      <w:pPr>
        <w:pStyle w:val="147"/>
        <w:spacing w:line="500" w:lineRule="exact"/>
        <w:ind w:firstLine="480"/>
        <w:jc w:val="left"/>
        <w:rPr>
          <w:rFonts w:ascii="Times New Roman" w:hAnsi="Times New Roman" w:eastAsia="方正仿宋_GBK"/>
          <w:sz w:val="24"/>
          <w:szCs w:val="24"/>
        </w:rPr>
      </w:pPr>
      <w:r>
        <w:rPr>
          <w:rFonts w:hint="eastAsia" w:ascii="Times New Roman" w:hAnsi="Times New Roman" w:eastAsia="方正仿宋_GBK"/>
          <w:sz w:val="24"/>
          <w:szCs w:val="24"/>
        </w:rPr>
        <w:t>四、如果我方的投标文件被接受，我方将按《中华人民共和国民法典（第三编合同）》及其他有关法律、法规的规定，按期、按质、按量交付采购单位，全面做到履约守信；</w:t>
      </w:r>
    </w:p>
    <w:p>
      <w:pPr>
        <w:pStyle w:val="147"/>
        <w:spacing w:line="500" w:lineRule="exact"/>
        <w:ind w:firstLine="480"/>
        <w:jc w:val="left"/>
        <w:rPr>
          <w:rFonts w:ascii="Times New Roman" w:hAnsi="Times New Roman" w:eastAsia="方正仿宋_GBK"/>
          <w:sz w:val="24"/>
          <w:szCs w:val="24"/>
        </w:rPr>
      </w:pPr>
      <w:r>
        <w:rPr>
          <w:rFonts w:hint="eastAsia" w:ascii="Times New Roman" w:hAnsi="Times New Roman" w:eastAsia="方正仿宋_GBK"/>
          <w:sz w:val="24"/>
          <w:szCs w:val="24"/>
        </w:rPr>
        <w:t>五、我方若违背本声明及承诺约定，经查实，自愿接受采购人及相关主管部门相应的规定处理，并依法承担相应的法律责任。</w:t>
      </w:r>
    </w:p>
    <w:p>
      <w:pPr>
        <w:pStyle w:val="147"/>
        <w:spacing w:line="500" w:lineRule="exact"/>
        <w:ind w:firstLine="480"/>
        <w:jc w:val="left"/>
        <w:rPr>
          <w:rFonts w:ascii="Times New Roman" w:hAnsi="Times New Roman" w:eastAsia="方正仿宋_GBK"/>
          <w:sz w:val="24"/>
          <w:szCs w:val="24"/>
        </w:rPr>
      </w:pPr>
      <w:r>
        <w:rPr>
          <w:rFonts w:hint="eastAsia" w:ascii="Times New Roman" w:hAnsi="Times New Roman" w:eastAsia="方正仿宋_GBK"/>
          <w:sz w:val="24"/>
          <w:szCs w:val="24"/>
        </w:rPr>
        <w:t>六、我方同意采购人、采购代理机构将本声明及承诺函上网公开。</w:t>
      </w:r>
    </w:p>
    <w:p>
      <w:pPr>
        <w:pStyle w:val="147"/>
        <w:spacing w:line="500" w:lineRule="exact"/>
        <w:ind w:firstLine="480"/>
        <w:jc w:val="left"/>
        <w:rPr>
          <w:rFonts w:ascii="Times New Roman" w:hAnsi="Times New Roman" w:eastAsia="方正仿宋_GBK"/>
          <w:sz w:val="24"/>
          <w:szCs w:val="24"/>
        </w:rPr>
      </w:pPr>
    </w:p>
    <w:p>
      <w:pPr>
        <w:pStyle w:val="147"/>
        <w:spacing w:line="500" w:lineRule="exact"/>
        <w:jc w:val="left"/>
        <w:rPr>
          <w:rFonts w:ascii="Times New Roman" w:hAnsi="Times New Roman" w:eastAsia="方正仿宋_GBK"/>
          <w:sz w:val="24"/>
          <w:szCs w:val="24"/>
        </w:rPr>
      </w:pPr>
    </w:p>
    <w:p>
      <w:pPr>
        <w:pStyle w:val="147"/>
        <w:spacing w:line="500" w:lineRule="exact"/>
        <w:ind w:firstLine="480"/>
        <w:jc w:val="left"/>
        <w:rPr>
          <w:rFonts w:ascii="Times New Roman" w:hAnsi="Times New Roman" w:eastAsia="方正仿宋_GBK"/>
          <w:sz w:val="24"/>
          <w:szCs w:val="24"/>
        </w:rPr>
      </w:pPr>
      <w:r>
        <w:rPr>
          <w:rFonts w:hint="eastAsia" w:ascii="Times New Roman" w:hAnsi="Times New Roman" w:eastAsia="方正仿宋_GBK"/>
          <w:sz w:val="24"/>
          <w:szCs w:val="24"/>
        </w:rPr>
        <w:t xml:space="preserve">投标人名称： </w:t>
      </w:r>
      <w:r>
        <w:rPr>
          <w:rFonts w:hint="eastAsia" w:ascii="Times New Roman" w:hAnsi="Times New Roman" w:eastAsia="方正仿宋_GBK"/>
          <w:sz w:val="24"/>
          <w:szCs w:val="24"/>
          <w:u w:val="single"/>
        </w:rPr>
        <w:t xml:space="preserve">          </w:t>
      </w:r>
      <w:r>
        <w:rPr>
          <w:rFonts w:hint="eastAsia" w:ascii="Times New Roman" w:hAnsi="Times New Roman" w:eastAsia="方正仿宋_GBK"/>
          <w:sz w:val="24"/>
          <w:szCs w:val="24"/>
        </w:rPr>
        <w:t>（加盖CA电子公章）</w:t>
      </w:r>
    </w:p>
    <w:p>
      <w:pPr>
        <w:pStyle w:val="147"/>
        <w:ind w:firstLine="480"/>
        <w:rPr>
          <w:rFonts w:ascii="Times New Roman" w:hAnsi="Times New Roman"/>
        </w:rPr>
      </w:pPr>
      <w:r>
        <w:rPr>
          <w:rFonts w:hint="eastAsia" w:ascii="Times New Roman" w:hAnsi="Times New Roman" w:eastAsia="方正仿宋_GBK"/>
          <w:sz w:val="24"/>
          <w:szCs w:val="24"/>
        </w:rPr>
        <w:t>日期：    年    月   日</w:t>
      </w:r>
    </w:p>
    <w:p>
      <w:pPr>
        <w:pStyle w:val="89"/>
      </w:pPr>
      <w:r>
        <w:rPr/>
        <w:br w:type="page" w:clear="all"/>
      </w:r>
      <w:r>
        <w:rPr>
          <w:rFonts w:hint="eastAsia" w:eastAsia="宋体"/>
          <w:b/>
          <w:sz w:val="32"/>
          <w:szCs w:val="32"/>
        </w:rPr>
        <w:t>二、投标人基本情况</w:t>
      </w:r>
    </w:p>
    <w:p>
      <w:pPr>
        <w:pStyle w:val="85"/>
        <w:jc w:val="center"/>
        <w:rPr>
          <w:rFonts w:ascii="Times New Roman" w:hAnsi="Times New Roman"/>
          <w:sz w:val="44"/>
          <w:szCs w:val="44"/>
        </w:rPr>
      </w:pPr>
      <w:r>
        <w:rPr>
          <w:rFonts w:hint="eastAsia" w:ascii="Times New Roman" w:hAnsi="Times New Roman"/>
          <w:sz w:val="44"/>
          <w:szCs w:val="44"/>
        </w:rPr>
        <w:t>投标人基本情况表</w:t>
      </w:r>
    </w:p>
    <w:tbl>
      <w:tblPr>
        <w:tblStyle w:val="43"/>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3118"/>
        <w:gridCol w:w="1276"/>
        <w:gridCol w:w="2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pStyle w:val="85"/>
              <w:spacing w:line="6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投标人名称</w:t>
            </w:r>
          </w:p>
        </w:tc>
        <w:tc>
          <w:tcPr>
            <w:tcW w:w="6998" w:type="dxa"/>
            <w:gridSpan w:val="3"/>
            <w:vAlign w:val="center"/>
          </w:tcPr>
          <w:p>
            <w:pPr>
              <w:pStyle w:val="85"/>
              <w:spacing w:line="600" w:lineRule="exact"/>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pStyle w:val="85"/>
              <w:spacing w:line="6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法定代表人</w:t>
            </w:r>
          </w:p>
        </w:tc>
        <w:tc>
          <w:tcPr>
            <w:tcW w:w="3118" w:type="dxa"/>
            <w:vAlign w:val="center"/>
          </w:tcPr>
          <w:p>
            <w:pPr>
              <w:pStyle w:val="85"/>
              <w:spacing w:line="600" w:lineRule="exact"/>
              <w:jc w:val="center"/>
              <w:rPr>
                <w:rFonts w:ascii="方正仿宋_GBK" w:hAnsi="方正仿宋_GBK" w:eastAsia="方正仿宋_GBK" w:cs="方正仿宋_GBK"/>
                <w:sz w:val="24"/>
                <w:szCs w:val="24"/>
              </w:rPr>
            </w:pPr>
          </w:p>
        </w:tc>
        <w:tc>
          <w:tcPr>
            <w:tcW w:w="1276" w:type="dxa"/>
            <w:vAlign w:val="center"/>
          </w:tcPr>
          <w:p>
            <w:pPr>
              <w:pStyle w:val="85"/>
              <w:spacing w:line="6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注册地区</w:t>
            </w:r>
          </w:p>
        </w:tc>
        <w:tc>
          <w:tcPr>
            <w:tcW w:w="2604" w:type="dxa"/>
            <w:vAlign w:val="center"/>
          </w:tcPr>
          <w:p>
            <w:pPr>
              <w:pStyle w:val="85"/>
              <w:spacing w:line="600" w:lineRule="exact"/>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pStyle w:val="85"/>
              <w:spacing w:line="6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地址</w:t>
            </w:r>
          </w:p>
        </w:tc>
        <w:tc>
          <w:tcPr>
            <w:tcW w:w="3118" w:type="dxa"/>
            <w:vAlign w:val="center"/>
          </w:tcPr>
          <w:p>
            <w:pPr>
              <w:pStyle w:val="85"/>
              <w:spacing w:line="600" w:lineRule="exact"/>
              <w:jc w:val="center"/>
              <w:rPr>
                <w:rFonts w:ascii="方正仿宋_GBK" w:hAnsi="方正仿宋_GBK" w:eastAsia="方正仿宋_GBK" w:cs="方正仿宋_GBK"/>
                <w:sz w:val="24"/>
                <w:szCs w:val="24"/>
              </w:rPr>
            </w:pPr>
          </w:p>
        </w:tc>
        <w:tc>
          <w:tcPr>
            <w:tcW w:w="1276" w:type="dxa"/>
            <w:vAlign w:val="center"/>
          </w:tcPr>
          <w:p>
            <w:pPr>
              <w:pStyle w:val="85"/>
              <w:spacing w:line="6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邮政编码</w:t>
            </w:r>
          </w:p>
        </w:tc>
        <w:tc>
          <w:tcPr>
            <w:tcW w:w="2604" w:type="dxa"/>
            <w:vAlign w:val="center"/>
          </w:tcPr>
          <w:p>
            <w:pPr>
              <w:pStyle w:val="85"/>
              <w:spacing w:line="600" w:lineRule="exact"/>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pStyle w:val="85"/>
              <w:spacing w:line="6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成立时间</w:t>
            </w:r>
          </w:p>
        </w:tc>
        <w:tc>
          <w:tcPr>
            <w:tcW w:w="3118" w:type="dxa"/>
            <w:vAlign w:val="center"/>
          </w:tcPr>
          <w:p>
            <w:pPr>
              <w:pStyle w:val="85"/>
              <w:spacing w:line="600" w:lineRule="exact"/>
              <w:jc w:val="center"/>
              <w:rPr>
                <w:rFonts w:ascii="方正仿宋_GBK" w:hAnsi="方正仿宋_GBK" w:eastAsia="方正仿宋_GBK" w:cs="方正仿宋_GBK"/>
                <w:sz w:val="24"/>
                <w:szCs w:val="24"/>
              </w:rPr>
            </w:pPr>
          </w:p>
        </w:tc>
        <w:tc>
          <w:tcPr>
            <w:tcW w:w="1276" w:type="dxa"/>
            <w:vAlign w:val="center"/>
          </w:tcPr>
          <w:p>
            <w:pPr>
              <w:pStyle w:val="85"/>
              <w:spacing w:line="6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单位性质</w:t>
            </w:r>
          </w:p>
        </w:tc>
        <w:tc>
          <w:tcPr>
            <w:tcW w:w="2604" w:type="dxa"/>
            <w:vAlign w:val="center"/>
          </w:tcPr>
          <w:p>
            <w:pPr>
              <w:pStyle w:val="85"/>
              <w:spacing w:line="600" w:lineRule="exact"/>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pStyle w:val="85"/>
              <w:spacing w:line="6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注册号或社会信用代码</w:t>
            </w:r>
          </w:p>
        </w:tc>
        <w:tc>
          <w:tcPr>
            <w:tcW w:w="3118" w:type="dxa"/>
            <w:vAlign w:val="center"/>
          </w:tcPr>
          <w:p>
            <w:pPr>
              <w:pStyle w:val="85"/>
              <w:spacing w:line="600" w:lineRule="exact"/>
              <w:jc w:val="center"/>
              <w:rPr>
                <w:rFonts w:ascii="方正仿宋_GBK" w:hAnsi="方正仿宋_GBK" w:eastAsia="方正仿宋_GBK" w:cs="方正仿宋_GBK"/>
                <w:sz w:val="24"/>
                <w:szCs w:val="24"/>
              </w:rPr>
            </w:pPr>
          </w:p>
        </w:tc>
        <w:tc>
          <w:tcPr>
            <w:tcW w:w="1276" w:type="dxa"/>
            <w:vAlign w:val="center"/>
          </w:tcPr>
          <w:p>
            <w:pPr>
              <w:pStyle w:val="85"/>
              <w:spacing w:line="6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注册资本（万元）</w:t>
            </w:r>
          </w:p>
        </w:tc>
        <w:tc>
          <w:tcPr>
            <w:tcW w:w="2604" w:type="dxa"/>
            <w:vAlign w:val="center"/>
          </w:tcPr>
          <w:p>
            <w:pPr>
              <w:pStyle w:val="85"/>
              <w:spacing w:line="600" w:lineRule="exact"/>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pStyle w:val="85"/>
              <w:spacing w:line="6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投标人类别</w:t>
            </w:r>
          </w:p>
        </w:tc>
        <w:tc>
          <w:tcPr>
            <w:tcW w:w="6998" w:type="dxa"/>
            <w:gridSpan w:val="3"/>
            <w:vAlign w:val="center"/>
          </w:tcPr>
          <w:p>
            <w:pPr>
              <w:pStyle w:val="85"/>
              <w:spacing w:line="600" w:lineRule="exact"/>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pStyle w:val="85"/>
              <w:spacing w:line="6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开户银行</w:t>
            </w:r>
          </w:p>
        </w:tc>
        <w:tc>
          <w:tcPr>
            <w:tcW w:w="3118" w:type="dxa"/>
            <w:vAlign w:val="center"/>
          </w:tcPr>
          <w:p>
            <w:pPr>
              <w:pStyle w:val="85"/>
              <w:spacing w:line="600" w:lineRule="exact"/>
              <w:jc w:val="center"/>
              <w:rPr>
                <w:rFonts w:ascii="方正仿宋_GBK" w:hAnsi="方正仿宋_GBK" w:eastAsia="方正仿宋_GBK" w:cs="方正仿宋_GBK"/>
                <w:sz w:val="24"/>
                <w:szCs w:val="24"/>
              </w:rPr>
            </w:pPr>
          </w:p>
        </w:tc>
        <w:tc>
          <w:tcPr>
            <w:tcW w:w="1276" w:type="dxa"/>
            <w:vAlign w:val="center"/>
          </w:tcPr>
          <w:p>
            <w:pPr>
              <w:pStyle w:val="85"/>
              <w:spacing w:line="6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账号</w:t>
            </w:r>
          </w:p>
        </w:tc>
        <w:tc>
          <w:tcPr>
            <w:tcW w:w="2604" w:type="dxa"/>
            <w:vAlign w:val="center"/>
          </w:tcPr>
          <w:p>
            <w:pPr>
              <w:pStyle w:val="85"/>
              <w:spacing w:line="600" w:lineRule="exact"/>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pStyle w:val="85"/>
              <w:spacing w:line="6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w:t>
            </w:r>
          </w:p>
        </w:tc>
        <w:tc>
          <w:tcPr>
            <w:tcW w:w="3118" w:type="dxa"/>
            <w:vAlign w:val="center"/>
          </w:tcPr>
          <w:p>
            <w:pPr>
              <w:pStyle w:val="85"/>
              <w:spacing w:line="600" w:lineRule="exact"/>
              <w:jc w:val="center"/>
              <w:rPr>
                <w:rFonts w:ascii="方正仿宋_GBK" w:hAnsi="方正仿宋_GBK" w:eastAsia="方正仿宋_GBK" w:cs="方正仿宋_GBK"/>
                <w:sz w:val="24"/>
                <w:szCs w:val="24"/>
              </w:rPr>
            </w:pPr>
          </w:p>
        </w:tc>
        <w:tc>
          <w:tcPr>
            <w:tcW w:w="1276" w:type="dxa"/>
            <w:vAlign w:val="center"/>
          </w:tcPr>
          <w:p>
            <w:pPr>
              <w:pStyle w:val="85"/>
              <w:spacing w:line="6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联系电话</w:t>
            </w:r>
          </w:p>
        </w:tc>
        <w:tc>
          <w:tcPr>
            <w:tcW w:w="2604" w:type="dxa"/>
            <w:vAlign w:val="center"/>
          </w:tcPr>
          <w:p>
            <w:pPr>
              <w:pStyle w:val="85"/>
              <w:spacing w:line="600" w:lineRule="exact"/>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76" w:hRule="atLeast"/>
        </w:trPr>
        <w:tc>
          <w:tcPr>
            <w:tcW w:w="1526" w:type="dxa"/>
            <w:vAlign w:val="center"/>
          </w:tcPr>
          <w:p>
            <w:pPr>
              <w:pStyle w:val="85"/>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经营范围</w:t>
            </w:r>
          </w:p>
        </w:tc>
        <w:tc>
          <w:tcPr>
            <w:tcW w:w="6998" w:type="dxa"/>
            <w:gridSpan w:val="3"/>
          </w:tcPr>
          <w:p>
            <w:pPr>
              <w:pStyle w:val="85"/>
              <w:spacing w:line="560" w:lineRule="exact"/>
              <w:ind w:firstLine="1432"/>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4" w:hRule="atLeast"/>
        </w:trPr>
        <w:tc>
          <w:tcPr>
            <w:tcW w:w="1526" w:type="dxa"/>
            <w:vAlign w:val="center"/>
          </w:tcPr>
          <w:p>
            <w:pPr>
              <w:pStyle w:val="85"/>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备注</w:t>
            </w:r>
          </w:p>
        </w:tc>
        <w:tc>
          <w:tcPr>
            <w:tcW w:w="6998" w:type="dxa"/>
            <w:gridSpan w:val="3"/>
            <w:vAlign w:val="center"/>
          </w:tcPr>
          <w:p>
            <w:pPr>
              <w:pStyle w:val="85"/>
              <w:spacing w:line="5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无需提供营业执照等证明材料</w:t>
            </w:r>
          </w:p>
        </w:tc>
      </w:tr>
    </w:tbl>
    <w:p>
      <w:pPr>
        <w:spacing w:line="440" w:lineRule="exact"/>
        <w:ind w:firstLine="480" w:firstLineChars="200"/>
        <w:rPr>
          <w:sz w:val="24"/>
        </w:rPr>
      </w:pPr>
    </w:p>
    <w:p>
      <w:pPr>
        <w:spacing w:line="440" w:lineRule="exact"/>
        <w:ind w:firstLine="480" w:firstLineChars="200"/>
        <w:rPr>
          <w:sz w:val="24"/>
        </w:rPr>
      </w:pPr>
    </w:p>
    <w:p>
      <w:pPr>
        <w:spacing w:line="440" w:lineRule="exact"/>
        <w:ind w:firstLine="480" w:firstLineChars="200"/>
        <w:rPr>
          <w:sz w:val="24"/>
        </w:rPr>
      </w:pPr>
    </w:p>
    <w:p>
      <w:pPr>
        <w:pStyle w:val="147"/>
        <w:rPr>
          <w:rFonts w:ascii="Times New Roman" w:hAnsi="Times New Roman" w:eastAsia="黑体"/>
          <w:i/>
          <w:sz w:val="32"/>
          <w:szCs w:val="32"/>
          <w:u w:val="single"/>
        </w:rPr>
      </w:pPr>
    </w:p>
    <w:p>
      <w:pPr>
        <w:rPr>
          <w:b/>
          <w:kern w:val="0"/>
          <w:sz w:val="32"/>
          <w:szCs w:val="32"/>
        </w:rPr>
      </w:pPr>
      <w:r>
        <w:rPr/>
        <w:br w:type="page" w:clear="all"/>
      </w:r>
      <w:r>
        <w:rPr>
          <w:rFonts w:hint="eastAsia"/>
          <w:b/>
          <w:kern w:val="0"/>
          <w:sz w:val="32"/>
          <w:szCs w:val="32"/>
        </w:rPr>
        <w:t>三、法人授权书</w:t>
      </w:r>
    </w:p>
    <w:p>
      <w:pPr>
        <w:pStyle w:val="88"/>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本授权书声明：____________（投标人名称）授权________________（被授权人的姓名）为我方就JSZC-</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号项目采购活动的合法代理人，以本单位名义全权处理一切与该项目采购有关的事务。</w:t>
      </w:r>
    </w:p>
    <w:p>
      <w:pPr>
        <w:pStyle w:val="88"/>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本授权书于______年____月____日起生效，特此声明。</w:t>
      </w:r>
    </w:p>
    <w:p>
      <w:pPr>
        <w:pStyle w:val="88"/>
        <w:ind w:firstLine="0" w:firstLineChars="0"/>
        <w:rPr>
          <w:rFonts w:ascii="方正仿宋_GBK" w:hAnsi="方正仿宋_GBK" w:eastAsia="方正仿宋_GBK" w:cs="方正仿宋_GBK"/>
          <w:sz w:val="24"/>
          <w:szCs w:val="24"/>
          <w:u w:val="single"/>
        </w:rPr>
      </w:pPr>
      <w:r>
        <w:rPr>
          <w:rFonts w:hint="eastAsia" w:ascii="方正仿宋_GBK" w:hAnsi="方正仿宋_GBK" w:eastAsia="方正仿宋_GBK" w:cs="方正仿宋_GBK"/>
          <w:sz w:val="24"/>
          <w:szCs w:val="24"/>
        </w:rPr>
        <w:t xml:space="preserve">          被授权人身份证号码：</w:t>
      </w:r>
      <w:r>
        <w:rPr>
          <w:rFonts w:hint="eastAsia" w:ascii="方正仿宋_GBK" w:hAnsi="方正仿宋_GBK" w:eastAsia="方正仿宋_GBK" w:cs="方正仿宋_GBK"/>
          <w:sz w:val="24"/>
          <w:szCs w:val="24"/>
          <w:u w:val="single"/>
        </w:rPr>
        <w:t xml:space="preserve">                              </w:t>
      </w:r>
    </w:p>
    <w:p>
      <w:pPr>
        <w:pStyle w:val="88"/>
        <w:ind w:firstLine="0" w:firstLineChars="0"/>
        <w:rPr>
          <w:rFonts w:ascii="方正仿宋_GBK" w:hAnsi="方正仿宋_GBK" w:eastAsia="方正仿宋_GBK" w:cs="方正仿宋_GBK"/>
          <w:sz w:val="24"/>
          <w:szCs w:val="24"/>
          <w:u w:val="single"/>
        </w:rPr>
      </w:pPr>
      <w:r>
        <w:rPr>
          <w:rFonts w:hint="eastAsia" w:ascii="方正仿宋_GBK" w:hAnsi="方正仿宋_GBK" w:eastAsia="方正仿宋_GBK" w:cs="方正仿宋_GBK"/>
          <w:sz w:val="24"/>
          <w:szCs w:val="24"/>
        </w:rPr>
        <w:t xml:space="preserve">          被授权人联系电话：（手机）</w:t>
      </w:r>
      <w:r>
        <w:rPr>
          <w:rFonts w:hint="eastAsia" w:ascii="方正仿宋_GBK" w:hAnsi="方正仿宋_GBK" w:eastAsia="方正仿宋_GBK" w:cs="方正仿宋_GBK"/>
          <w:sz w:val="24"/>
          <w:szCs w:val="24"/>
          <w:u w:val="single"/>
        </w:rPr>
        <w:t xml:space="preserve">                          </w:t>
      </w:r>
    </w:p>
    <w:p>
      <w:pPr>
        <w:pStyle w:val="88"/>
        <w:ind w:firstLine="1200" w:firstLineChars="5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授权单位名称：</w:t>
      </w:r>
      <w:r>
        <w:rPr>
          <w:rFonts w:hint="eastAsia" w:ascii="方正仿宋_GBK" w:hAnsi="方正仿宋_GBK" w:eastAsia="方正仿宋_GBK" w:cs="方正仿宋_GBK"/>
          <w:sz w:val="24"/>
          <w:szCs w:val="24"/>
          <w:u w:val="single"/>
        </w:rPr>
        <w:t>（加盖CA电子公章）</w:t>
      </w:r>
    </w:p>
    <w:p>
      <w:pPr>
        <w:pStyle w:val="88"/>
        <w:ind w:firstLine="480"/>
        <w:rPr>
          <w:rFonts w:ascii="方正仿宋_GBK" w:hAnsi="方正仿宋_GBK" w:eastAsia="方正仿宋_GBK" w:cs="方正仿宋_GBK"/>
          <w:sz w:val="24"/>
          <w:szCs w:val="24"/>
          <w:u w:val="single"/>
        </w:rPr>
      </w:pPr>
      <w:r>
        <w:rPr>
          <w:rFonts w:hint="eastAsia" w:ascii="方正仿宋_GBK" w:hAnsi="方正仿宋_GBK" w:eastAsia="方正仿宋_GBK" w:cs="方正仿宋_GBK"/>
          <w:sz w:val="24"/>
          <w:szCs w:val="24"/>
        </w:rPr>
        <w:t xml:space="preserve">      单位地址：</w:t>
      </w:r>
      <w:r>
        <w:rPr>
          <w:rFonts w:hint="eastAsia" w:ascii="方正仿宋_GBK" w:hAnsi="方正仿宋_GBK" w:eastAsia="方正仿宋_GBK" w:cs="方正仿宋_GBK"/>
          <w:sz w:val="24"/>
          <w:szCs w:val="24"/>
          <w:u w:val="single"/>
        </w:rPr>
        <w:t xml:space="preserve">                                         </w:t>
      </w:r>
    </w:p>
    <w:p>
      <w:pPr>
        <w:pStyle w:val="88"/>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日期：</w:t>
      </w:r>
      <w:bookmarkStart w:id="163" w:name="_Hlt26671380"/>
      <w:bookmarkEnd w:id="163"/>
      <w:bookmarkStart w:id="164" w:name="_Hlt26955070"/>
      <w:bookmarkEnd w:id="164"/>
      <w:bookmarkStart w:id="165" w:name="_格式3__银行出具的资信证明"/>
      <w:bookmarkEnd w:id="165"/>
      <w:r>
        <w:rPr>
          <w:rFonts w:hint="eastAsia" w:ascii="方正仿宋_GBK" w:hAnsi="方正仿宋_GBK" w:eastAsia="方正仿宋_GBK" w:cs="方正仿宋_GBK"/>
          <w:sz w:val="24"/>
          <w:szCs w:val="24"/>
          <w:u w:val="single"/>
        </w:rPr>
        <w:t xml:space="preserve">                                         </w:t>
      </w:r>
    </w:p>
    <w:p>
      <w:pPr>
        <w:pStyle w:val="5"/>
        <w:rPr>
          <w:rFonts w:ascii="方正仿宋_GBK" w:hAnsi="方正仿宋_GBK" w:eastAsia="方正仿宋_GBK" w:cs="方正仿宋_GBK"/>
          <w:i/>
          <w:sz w:val="24"/>
          <w:szCs w:val="24"/>
          <w:u w:val="single"/>
        </w:rPr>
      </w:pPr>
    </w:p>
    <w:p>
      <w:pPr>
        <w:pStyle w:val="5"/>
        <w:ind w:firstLine="0"/>
        <w:rPr>
          <w:rFonts w:ascii="方正仿宋_GBK" w:hAnsi="方正仿宋_GBK" w:eastAsia="方正仿宋_GBK" w:cs="方正仿宋_GBK"/>
        </w:rPr>
      </w:pPr>
    </w:p>
    <w:p>
      <w:pPr>
        <w:spacing w:line="460" w:lineRule="exact"/>
        <w:rPr>
          <w:rFonts w:ascii="方正仿宋_GBK" w:hAnsi="方正仿宋_GBK" w:eastAsia="方正仿宋_GBK" w:cs="方正仿宋_GBK"/>
          <w:bCs/>
          <w:sz w:val="24"/>
          <w:szCs w:val="24"/>
        </w:rPr>
      </w:pPr>
    </w:p>
    <w:p>
      <w:pPr>
        <w:spacing w:line="460" w:lineRule="exact"/>
        <w:ind w:firstLine="964"/>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（附法人和授权委托人身份证正反面扫描件）</w:t>
      </w:r>
    </w:p>
    <w:p>
      <w:pPr>
        <w:spacing w:line="460" w:lineRule="exact"/>
        <w:rPr>
          <w:bCs/>
          <w:sz w:val="24"/>
        </w:rPr>
      </w:pPr>
    </w:p>
    <w:p>
      <w:pPr>
        <w:rPr>
          <w:rFonts w:eastAsia="仿宋_GB2312"/>
          <w:sz w:val="24"/>
          <w:szCs w:val="20"/>
        </w:rPr>
      </w:pPr>
      <w:r>
        <w:rPr>
          <w:bCs/>
          <w:sz w:val="24"/>
        </w:rPr>
        <w:br w:type="page"/>
      </w:r>
      <w:r>
        <w:rPr>
          <w:rFonts w:hint="eastAsia"/>
          <w:b/>
          <w:kern w:val="0"/>
          <w:sz w:val="32"/>
          <w:szCs w:val="32"/>
        </w:rPr>
        <w:t>四、开标一览表</w:t>
      </w:r>
    </w:p>
    <w:p>
      <w:pPr>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投标人全称（加盖CA电子签章）：</w:t>
      </w:r>
    </w:p>
    <w:p>
      <w:pPr>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项目名称：</w:t>
      </w:r>
    </w:p>
    <w:p>
      <w:pPr>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招标编号：                                   分包号：</w:t>
      </w:r>
    </w:p>
    <w:tbl>
      <w:tblPr>
        <w:tblStyle w:val="43"/>
        <w:tblW w:w="82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trPr>
        <w:tc>
          <w:tcPr>
            <w:tcW w:w="8206" w:type="dxa"/>
            <w:vAlign w:val="center"/>
          </w:tcPr>
          <w:p>
            <w:pP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投标总报价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8206" w:type="dxa"/>
            <w:vAlign w:val="center"/>
          </w:tcPr>
          <w:p>
            <w:pPr>
              <w:pStyle w:val="159"/>
              <w:spacing w:before="0" w:after="0" w:line="500" w:lineRule="exact"/>
              <w:ind w:firstLine="0"/>
              <w:rPr>
                <w:rFonts w:ascii="方正仿宋_GBK" w:hAnsi="方正仿宋_GBK" w:eastAsia="方正仿宋_GBK" w:cs="方正仿宋_GBK"/>
                <w:kern w:val="2"/>
                <w:szCs w:val="21"/>
              </w:rPr>
            </w:pPr>
            <w:r>
              <w:rPr>
                <w:rFonts w:hint="eastAsia" w:ascii="方正仿宋_GBK" w:hAnsi="方正仿宋_GBK" w:eastAsia="方正仿宋_GBK" w:cs="方正仿宋_GBK"/>
              </w:rPr>
              <w:t>小写：                             （人民币：元）</w:t>
            </w:r>
          </w:p>
        </w:tc>
      </w:tr>
    </w:tbl>
    <w:p>
      <w:pPr>
        <w:rPr>
          <w:rFonts w:ascii="方正仿宋_GBK" w:hAnsi="方正仿宋_GBK" w:eastAsia="方正仿宋_GBK" w:cs="方正仿宋_GBK"/>
          <w:sz w:val="24"/>
          <w:szCs w:val="24"/>
        </w:rPr>
      </w:pPr>
    </w:p>
    <w:p>
      <w:pPr>
        <w:ind w:firstLine="48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日期：  </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年</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月</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日</w:t>
      </w:r>
    </w:p>
    <w:p>
      <w:pPr>
        <w:ind w:firstLine="480"/>
        <w:rPr>
          <w:rFonts w:ascii="方正仿宋_GBK" w:hAnsi="方正仿宋_GBK" w:eastAsia="方正仿宋_GBK" w:cs="方正仿宋_GBK"/>
          <w:sz w:val="24"/>
          <w:szCs w:val="24"/>
        </w:rPr>
      </w:pPr>
    </w:p>
    <w:p>
      <w:pPr>
        <w:ind w:firstLine="480"/>
        <w:rPr>
          <w:sz w:val="24"/>
          <w:szCs w:val="24"/>
        </w:rPr>
      </w:pPr>
    </w:p>
    <w:p>
      <w:pPr>
        <w:ind w:firstLine="480"/>
        <w:rPr>
          <w:sz w:val="24"/>
          <w:szCs w:val="24"/>
        </w:rPr>
      </w:pPr>
    </w:p>
    <w:p>
      <w:pPr>
        <w:jc w:val="center"/>
        <w:rPr>
          <w:bCs/>
          <w:sz w:val="24"/>
        </w:rPr>
      </w:pPr>
      <w:r>
        <w:rPr>
          <w:rFonts w:hint="eastAsia"/>
        </w:rPr>
        <w:br w:type="page"/>
      </w:r>
    </w:p>
    <w:p>
      <w:pPr>
        <w:pStyle w:val="121"/>
        <w:outlineLvl w:val="1"/>
      </w:pPr>
      <w:bookmarkStart w:id="166" w:name="_Toc6486"/>
      <w:r>
        <w:rPr>
          <w:rFonts w:hint="eastAsia"/>
        </w:rPr>
        <w:t>五</w:t>
      </w:r>
      <w:r>
        <w:t>、</w:t>
      </w:r>
      <w:r>
        <w:rPr>
          <w:rFonts w:hint="eastAsia"/>
        </w:rPr>
        <w:t>投标报价</w:t>
      </w:r>
      <w:r>
        <w:t>明细报价表</w:t>
      </w:r>
      <w:bookmarkEnd w:id="166"/>
    </w:p>
    <w:p>
      <w:pPr>
        <w:pStyle w:val="104"/>
        <w:spacing w:line="600" w:lineRule="exact"/>
        <w:jc w:val="center"/>
        <w:rPr>
          <w:rFonts w:ascii="方正小标宋_GBK" w:eastAsia="方正小标宋_GBK"/>
          <w:bCs/>
          <w:sz w:val="32"/>
          <w:szCs w:val="32"/>
        </w:rPr>
      </w:pPr>
      <w:r>
        <w:rPr>
          <w:rFonts w:hint="eastAsia" w:ascii="方正小标宋_GBK" w:eastAsia="方正小标宋_GBK"/>
          <w:bCs/>
          <w:sz w:val="32"/>
          <w:szCs w:val="32"/>
        </w:rPr>
        <w:t>明细报价表（服务类）</w:t>
      </w:r>
    </w:p>
    <w:tbl>
      <w:tblPr>
        <w:tblStyle w:val="43"/>
        <w:tblW w:w="8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407"/>
        <w:gridCol w:w="489"/>
        <w:gridCol w:w="1100"/>
        <w:gridCol w:w="1325"/>
        <w:gridCol w:w="1113"/>
        <w:gridCol w:w="1050"/>
        <w:gridCol w:w="856"/>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adjustRightInd w:val="0"/>
              <w:snapToGrid w:val="0"/>
              <w:spacing w:line="3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序号</w:t>
            </w:r>
          </w:p>
        </w:tc>
        <w:tc>
          <w:tcPr>
            <w:tcW w:w="1896" w:type="dxa"/>
            <w:gridSpan w:val="2"/>
            <w:tcBorders>
              <w:top w:val="single" w:color="auto" w:sz="4" w:space="0"/>
              <w:left w:val="single" w:color="auto" w:sz="4" w:space="0"/>
              <w:bottom w:val="single" w:color="auto" w:sz="4" w:space="0"/>
              <w:right w:val="single" w:color="auto" w:sz="4" w:space="0"/>
            </w:tcBorders>
            <w:vAlign w:val="center"/>
          </w:tcPr>
          <w:p>
            <w:pPr>
              <w:pStyle w:val="191"/>
              <w:widowControl/>
              <w:adjustRightInd w:val="0"/>
              <w:snapToGrid w:val="0"/>
              <w:spacing w:line="3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项目</w:t>
            </w:r>
          </w:p>
        </w:tc>
        <w:tc>
          <w:tcPr>
            <w:tcW w:w="1100" w:type="dxa"/>
            <w:tcBorders>
              <w:top w:val="single" w:color="auto" w:sz="4" w:space="0"/>
              <w:left w:val="single" w:color="auto" w:sz="4" w:space="0"/>
              <w:bottom w:val="single" w:color="auto" w:sz="4" w:space="0"/>
              <w:right w:val="single" w:color="auto" w:sz="4" w:space="0"/>
            </w:tcBorders>
            <w:vAlign w:val="center"/>
          </w:tcPr>
          <w:p>
            <w:pPr>
              <w:pStyle w:val="191"/>
              <w:widowControl/>
              <w:adjustRightInd w:val="0"/>
              <w:snapToGrid w:val="0"/>
              <w:spacing w:line="3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kern w:val="0"/>
                <w:sz w:val="24"/>
              </w:rPr>
              <w:t>配备</w:t>
            </w:r>
          </w:p>
        </w:tc>
        <w:tc>
          <w:tcPr>
            <w:tcW w:w="1325" w:type="dxa"/>
            <w:tcBorders>
              <w:top w:val="single" w:color="auto" w:sz="4" w:space="0"/>
              <w:left w:val="single" w:color="auto" w:sz="4" w:space="0"/>
              <w:bottom w:val="single" w:color="auto" w:sz="4" w:space="0"/>
              <w:right w:val="single" w:color="auto" w:sz="4" w:space="0"/>
            </w:tcBorders>
            <w:vAlign w:val="center"/>
          </w:tcPr>
          <w:p>
            <w:pPr>
              <w:pStyle w:val="191"/>
              <w:widowControl/>
              <w:adjustRightInd w:val="0"/>
              <w:snapToGrid w:val="0"/>
              <w:spacing w:line="3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kern w:val="0"/>
                <w:sz w:val="24"/>
              </w:rPr>
              <w:t>岗位</w:t>
            </w:r>
          </w:p>
        </w:tc>
        <w:tc>
          <w:tcPr>
            <w:tcW w:w="1113" w:type="dxa"/>
            <w:tcBorders>
              <w:top w:val="single" w:color="auto" w:sz="4" w:space="0"/>
              <w:left w:val="single" w:color="auto" w:sz="4" w:space="0"/>
              <w:bottom w:val="single" w:color="auto" w:sz="4" w:space="0"/>
              <w:right w:val="single" w:color="auto" w:sz="4" w:space="0"/>
            </w:tcBorders>
            <w:vAlign w:val="center"/>
          </w:tcPr>
          <w:p>
            <w:pPr>
              <w:pStyle w:val="191"/>
              <w:widowControl/>
              <w:adjustRightInd w:val="0"/>
              <w:snapToGrid w:val="0"/>
              <w:spacing w:line="3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人数</w:t>
            </w: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adjustRightInd w:val="0"/>
              <w:snapToGrid w:val="0"/>
              <w:spacing w:line="3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单价/月工资</w:t>
            </w:r>
          </w:p>
          <w:p>
            <w:pPr>
              <w:pStyle w:val="191"/>
              <w:widowControl/>
              <w:adjustRightInd w:val="0"/>
              <w:snapToGrid w:val="0"/>
              <w:spacing w:line="3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（元）</w:t>
            </w:r>
          </w:p>
        </w:tc>
        <w:tc>
          <w:tcPr>
            <w:tcW w:w="856" w:type="dxa"/>
            <w:tcBorders>
              <w:top w:val="single" w:color="auto" w:sz="4" w:space="0"/>
              <w:left w:val="single" w:color="auto" w:sz="4" w:space="0"/>
              <w:bottom w:val="single" w:color="auto" w:sz="4" w:space="0"/>
              <w:right w:val="single" w:color="auto" w:sz="4" w:space="0"/>
            </w:tcBorders>
            <w:vAlign w:val="center"/>
          </w:tcPr>
          <w:p>
            <w:pPr>
              <w:pStyle w:val="191"/>
              <w:widowControl/>
              <w:adjustRightInd w:val="0"/>
              <w:snapToGrid w:val="0"/>
              <w:spacing w:line="3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月数</w:t>
            </w:r>
          </w:p>
        </w:tc>
        <w:tc>
          <w:tcPr>
            <w:tcW w:w="991" w:type="dxa"/>
            <w:tcBorders>
              <w:top w:val="single" w:color="auto" w:sz="4" w:space="0"/>
              <w:left w:val="single" w:color="auto" w:sz="4" w:space="0"/>
              <w:bottom w:val="single" w:color="auto" w:sz="4" w:space="0"/>
              <w:right w:val="single" w:color="auto" w:sz="4" w:space="0"/>
            </w:tcBorders>
            <w:vAlign w:val="center"/>
          </w:tcPr>
          <w:p>
            <w:pPr>
              <w:pStyle w:val="191"/>
              <w:widowControl/>
              <w:adjustRightInd w:val="0"/>
              <w:snapToGrid w:val="0"/>
              <w:spacing w:line="3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合价/年工资</w:t>
            </w:r>
          </w:p>
          <w:p>
            <w:pPr>
              <w:pStyle w:val="191"/>
              <w:widowControl/>
              <w:adjustRightInd w:val="0"/>
              <w:snapToGrid w:val="0"/>
              <w:spacing w:line="3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1</w:t>
            </w:r>
          </w:p>
        </w:tc>
        <w:tc>
          <w:tcPr>
            <w:tcW w:w="1896" w:type="dxa"/>
            <w:gridSpan w:val="2"/>
            <w:vMerge w:val="restart"/>
            <w:tcBorders>
              <w:top w:val="single" w:color="auto" w:sz="4" w:space="0"/>
              <w:left w:val="single" w:color="auto" w:sz="4" w:space="0"/>
              <w:right w:val="single" w:color="auto" w:sz="4" w:space="0"/>
            </w:tcBorders>
            <w:vAlign w:val="center"/>
          </w:tcPr>
          <w:p>
            <w:pPr>
              <w:pStyle w:val="104"/>
              <w:widowControl/>
              <w:jc w:val="center"/>
              <w:rPr>
                <w:rFonts w:ascii="方正仿宋_GBK" w:hAnsi="方正仿宋_GBK" w:eastAsia="方正仿宋_GBK" w:cs="方正仿宋_GBK"/>
                <w:sz w:val="24"/>
                <w:szCs w:val="24"/>
              </w:rPr>
            </w:pPr>
            <w:r>
              <w:rPr>
                <w:rFonts w:hint="eastAsia" w:ascii="方正仿宋_GBK" w:hAnsi="方正仿宋_GBK" w:eastAsia="方正仿宋_GBK" w:cs="方正仿宋_GBK"/>
                <w:color w:val="000000"/>
                <w:kern w:val="0"/>
                <w:sz w:val="24"/>
                <w:szCs w:val="24"/>
              </w:rPr>
              <w:t>人员工资（基本工资+绩效工资）核算</w:t>
            </w:r>
          </w:p>
        </w:tc>
        <w:tc>
          <w:tcPr>
            <w:tcW w:w="1100"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洋河</w:t>
            </w:r>
          </w:p>
        </w:tc>
        <w:tc>
          <w:tcPr>
            <w:tcW w:w="1325"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保洁员</w:t>
            </w:r>
          </w:p>
        </w:tc>
        <w:tc>
          <w:tcPr>
            <w:tcW w:w="1113" w:type="dxa"/>
            <w:tcBorders>
              <w:top w:val="single" w:color="auto" w:sz="4" w:space="0"/>
              <w:left w:val="single" w:color="auto" w:sz="4" w:space="0"/>
              <w:bottom w:val="single" w:color="auto" w:sz="4" w:space="0"/>
              <w:right w:val="single" w:color="auto" w:sz="4" w:space="0"/>
            </w:tcBorders>
            <w:vAlign w:val="center"/>
          </w:tcPr>
          <w:p>
            <w:pPr>
              <w:pStyle w:val="69"/>
              <w:tabs>
                <w:tab w:val="center" w:pos="329"/>
                <w:tab w:val="left" w:pos="494"/>
              </w:tabs>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26</w:t>
            </w: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24</w:t>
            </w: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2</w:t>
            </w:r>
          </w:p>
        </w:tc>
        <w:tc>
          <w:tcPr>
            <w:tcW w:w="1896" w:type="dxa"/>
            <w:gridSpan w:val="2"/>
            <w:vMerge w:val="continue"/>
            <w:tcBorders>
              <w:left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00"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仓集</w:t>
            </w:r>
          </w:p>
        </w:tc>
        <w:tc>
          <w:tcPr>
            <w:tcW w:w="1325"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保洁员</w:t>
            </w:r>
          </w:p>
        </w:tc>
        <w:tc>
          <w:tcPr>
            <w:tcW w:w="1113"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7</w:t>
            </w: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24</w:t>
            </w: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3</w:t>
            </w:r>
          </w:p>
        </w:tc>
        <w:tc>
          <w:tcPr>
            <w:tcW w:w="1896" w:type="dxa"/>
            <w:gridSpan w:val="2"/>
            <w:vMerge w:val="continue"/>
            <w:tcBorders>
              <w:left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00"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郑楼</w:t>
            </w:r>
          </w:p>
        </w:tc>
        <w:tc>
          <w:tcPr>
            <w:tcW w:w="1325"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保洁员</w:t>
            </w:r>
          </w:p>
        </w:tc>
        <w:tc>
          <w:tcPr>
            <w:tcW w:w="1113"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7</w:t>
            </w: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24</w:t>
            </w: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4</w:t>
            </w:r>
          </w:p>
        </w:tc>
        <w:tc>
          <w:tcPr>
            <w:tcW w:w="1896" w:type="dxa"/>
            <w:gridSpan w:val="2"/>
            <w:vMerge w:val="continue"/>
            <w:tcBorders>
              <w:left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00" w:type="dxa"/>
            <w:vMerge w:val="restart"/>
            <w:tcBorders>
              <w:top w:val="single" w:color="auto" w:sz="4" w:space="0"/>
              <w:left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洋河</w:t>
            </w:r>
          </w:p>
        </w:tc>
        <w:tc>
          <w:tcPr>
            <w:tcW w:w="1325"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男宿管</w:t>
            </w:r>
          </w:p>
        </w:tc>
        <w:tc>
          <w:tcPr>
            <w:tcW w:w="1113"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w:t>
            </w: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24</w:t>
            </w: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5</w:t>
            </w:r>
          </w:p>
        </w:tc>
        <w:tc>
          <w:tcPr>
            <w:tcW w:w="1896" w:type="dxa"/>
            <w:gridSpan w:val="2"/>
            <w:vMerge w:val="continue"/>
            <w:tcBorders>
              <w:left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00" w:type="dxa"/>
            <w:vMerge w:val="continue"/>
            <w:tcBorders>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325"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女宿管</w:t>
            </w:r>
          </w:p>
        </w:tc>
        <w:tc>
          <w:tcPr>
            <w:tcW w:w="1113"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w:t>
            </w: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24</w:t>
            </w: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6</w:t>
            </w:r>
          </w:p>
        </w:tc>
        <w:tc>
          <w:tcPr>
            <w:tcW w:w="1896" w:type="dxa"/>
            <w:gridSpan w:val="2"/>
            <w:vMerge w:val="continue"/>
            <w:tcBorders>
              <w:left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00" w:type="dxa"/>
            <w:vMerge w:val="restart"/>
            <w:tcBorders>
              <w:top w:val="single" w:color="auto" w:sz="4" w:space="0"/>
              <w:left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仓集</w:t>
            </w:r>
          </w:p>
        </w:tc>
        <w:tc>
          <w:tcPr>
            <w:tcW w:w="1325"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男宿管</w:t>
            </w:r>
          </w:p>
        </w:tc>
        <w:tc>
          <w:tcPr>
            <w:tcW w:w="1113"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24</w:t>
            </w: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7</w:t>
            </w:r>
          </w:p>
        </w:tc>
        <w:tc>
          <w:tcPr>
            <w:tcW w:w="1896" w:type="dxa"/>
            <w:gridSpan w:val="2"/>
            <w:vMerge w:val="continue"/>
            <w:tcBorders>
              <w:left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00" w:type="dxa"/>
            <w:vMerge w:val="continue"/>
            <w:tcBorders>
              <w:left w:val="single" w:color="auto" w:sz="4" w:space="0"/>
              <w:bottom w:val="single" w:color="auto" w:sz="4" w:space="0"/>
              <w:right w:val="single" w:color="auto" w:sz="4" w:space="0"/>
            </w:tcBorders>
            <w:vAlign w:val="center"/>
          </w:tcPr>
          <w:p>
            <w:pPr>
              <w:pStyle w:val="104"/>
              <w:widowControl/>
              <w:jc w:val="center"/>
              <w:rPr>
                <w:rFonts w:ascii="方正仿宋_GBK" w:hAnsi="方正仿宋_GBK" w:eastAsia="方正仿宋_GBK" w:cs="方正仿宋_GBK"/>
                <w:color w:val="000000"/>
                <w:kern w:val="0"/>
                <w:sz w:val="24"/>
                <w:szCs w:val="24"/>
              </w:rPr>
            </w:pPr>
          </w:p>
        </w:tc>
        <w:tc>
          <w:tcPr>
            <w:tcW w:w="1325"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女宿管</w:t>
            </w:r>
          </w:p>
        </w:tc>
        <w:tc>
          <w:tcPr>
            <w:tcW w:w="1113"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24</w:t>
            </w: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8</w:t>
            </w:r>
          </w:p>
        </w:tc>
        <w:tc>
          <w:tcPr>
            <w:tcW w:w="1896" w:type="dxa"/>
            <w:gridSpan w:val="2"/>
            <w:vMerge w:val="continue"/>
            <w:tcBorders>
              <w:left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00" w:type="dxa"/>
            <w:vMerge w:val="restart"/>
            <w:tcBorders>
              <w:top w:val="single" w:color="auto" w:sz="4" w:space="0"/>
              <w:left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郑楼</w:t>
            </w:r>
          </w:p>
        </w:tc>
        <w:tc>
          <w:tcPr>
            <w:tcW w:w="1325"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男宿管</w:t>
            </w:r>
          </w:p>
        </w:tc>
        <w:tc>
          <w:tcPr>
            <w:tcW w:w="1113"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24</w:t>
            </w: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9</w:t>
            </w:r>
          </w:p>
        </w:tc>
        <w:tc>
          <w:tcPr>
            <w:tcW w:w="1896" w:type="dxa"/>
            <w:gridSpan w:val="2"/>
            <w:vMerge w:val="continue"/>
            <w:tcBorders>
              <w:left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00" w:type="dxa"/>
            <w:vMerge w:val="continue"/>
            <w:tcBorders>
              <w:left w:val="single" w:color="auto" w:sz="4" w:space="0"/>
              <w:bottom w:val="single" w:color="auto" w:sz="4" w:space="0"/>
              <w:right w:val="single" w:color="auto" w:sz="4" w:space="0"/>
            </w:tcBorders>
            <w:vAlign w:val="center"/>
          </w:tcPr>
          <w:p>
            <w:pPr>
              <w:pStyle w:val="104"/>
              <w:widowControl/>
              <w:jc w:val="center"/>
              <w:rPr>
                <w:rFonts w:ascii="方正仿宋_GBK" w:hAnsi="方正仿宋_GBK" w:eastAsia="方正仿宋_GBK" w:cs="方正仿宋_GBK"/>
                <w:color w:val="000000"/>
                <w:kern w:val="0"/>
                <w:sz w:val="24"/>
                <w:szCs w:val="24"/>
              </w:rPr>
            </w:pPr>
          </w:p>
        </w:tc>
        <w:tc>
          <w:tcPr>
            <w:tcW w:w="1325"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女宿管</w:t>
            </w:r>
          </w:p>
        </w:tc>
        <w:tc>
          <w:tcPr>
            <w:tcW w:w="1113"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24</w:t>
            </w: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10</w:t>
            </w:r>
          </w:p>
        </w:tc>
        <w:tc>
          <w:tcPr>
            <w:tcW w:w="1896" w:type="dxa"/>
            <w:gridSpan w:val="2"/>
            <w:vMerge w:val="continue"/>
            <w:tcBorders>
              <w:left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00"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洋河</w:t>
            </w:r>
          </w:p>
        </w:tc>
        <w:tc>
          <w:tcPr>
            <w:tcW w:w="1325"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水电工</w:t>
            </w:r>
          </w:p>
        </w:tc>
        <w:tc>
          <w:tcPr>
            <w:tcW w:w="1113"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w:t>
            </w: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24</w:t>
            </w: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11</w:t>
            </w:r>
          </w:p>
        </w:tc>
        <w:tc>
          <w:tcPr>
            <w:tcW w:w="1896" w:type="dxa"/>
            <w:gridSpan w:val="2"/>
            <w:vMerge w:val="continue"/>
            <w:tcBorders>
              <w:left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00"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仓集</w:t>
            </w:r>
          </w:p>
        </w:tc>
        <w:tc>
          <w:tcPr>
            <w:tcW w:w="1325"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水电工</w:t>
            </w:r>
          </w:p>
        </w:tc>
        <w:tc>
          <w:tcPr>
            <w:tcW w:w="1113"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w:t>
            </w: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24</w:t>
            </w: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12</w:t>
            </w:r>
          </w:p>
        </w:tc>
        <w:tc>
          <w:tcPr>
            <w:tcW w:w="1896" w:type="dxa"/>
            <w:gridSpan w:val="2"/>
            <w:vMerge w:val="continue"/>
            <w:tcBorders>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00"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郑楼</w:t>
            </w:r>
          </w:p>
        </w:tc>
        <w:tc>
          <w:tcPr>
            <w:tcW w:w="1325"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水电工</w:t>
            </w:r>
          </w:p>
        </w:tc>
        <w:tc>
          <w:tcPr>
            <w:tcW w:w="1113" w:type="dxa"/>
            <w:tcBorders>
              <w:top w:val="single" w:color="auto" w:sz="4" w:space="0"/>
              <w:left w:val="single" w:color="auto" w:sz="4" w:space="0"/>
              <w:bottom w:val="single" w:color="auto" w:sz="4" w:space="0"/>
              <w:right w:val="single" w:color="auto" w:sz="4" w:space="0"/>
            </w:tcBorders>
            <w:vAlign w:val="center"/>
          </w:tcPr>
          <w:p>
            <w:pPr>
              <w:pStyle w:val="69"/>
              <w:spacing w:line="500" w:lineRule="exact"/>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w:t>
            </w: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24</w:t>
            </w: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13</w:t>
            </w:r>
          </w:p>
        </w:tc>
        <w:tc>
          <w:tcPr>
            <w:tcW w:w="1896" w:type="dxa"/>
            <w:gridSpan w:val="2"/>
            <w:tcBorders>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00" w:type="dxa"/>
            <w:tcBorders>
              <w:top w:val="single" w:color="auto" w:sz="4" w:space="0"/>
              <w:left w:val="single" w:color="auto" w:sz="4" w:space="0"/>
              <w:bottom w:val="single" w:color="auto" w:sz="4" w:space="0"/>
              <w:right w:val="single" w:color="auto" w:sz="4" w:space="0"/>
            </w:tcBorders>
            <w:vAlign w:val="center"/>
          </w:tcPr>
          <w:p>
            <w:pPr>
              <w:pStyle w:val="104"/>
              <w:widowControl/>
              <w:jc w:val="center"/>
              <w:rPr>
                <w:rFonts w:ascii="方正仿宋_GBK" w:hAnsi="方正仿宋_GBK" w:eastAsia="方正仿宋_GBK" w:cs="方正仿宋_GBK"/>
                <w:color w:val="000000"/>
                <w:kern w:val="0"/>
                <w:sz w:val="24"/>
                <w:szCs w:val="24"/>
              </w:rPr>
            </w:pPr>
          </w:p>
        </w:tc>
        <w:tc>
          <w:tcPr>
            <w:tcW w:w="1325" w:type="dxa"/>
            <w:tcBorders>
              <w:top w:val="single" w:color="auto" w:sz="4" w:space="0"/>
              <w:left w:val="single" w:color="auto" w:sz="4" w:space="0"/>
              <w:bottom w:val="single" w:color="auto" w:sz="4" w:space="0"/>
              <w:right w:val="single" w:color="auto" w:sz="4" w:space="0"/>
            </w:tcBorders>
            <w:vAlign w:val="center"/>
          </w:tcPr>
          <w:p>
            <w:pPr>
              <w:pStyle w:val="104"/>
              <w:widowControl/>
              <w:jc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w:t>
            </w:r>
          </w:p>
        </w:tc>
        <w:tc>
          <w:tcPr>
            <w:tcW w:w="1113"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14</w:t>
            </w:r>
          </w:p>
        </w:tc>
        <w:tc>
          <w:tcPr>
            <w:tcW w:w="1896" w:type="dxa"/>
            <w:gridSpan w:val="2"/>
            <w:vMerge w:val="restart"/>
            <w:tcBorders>
              <w:top w:val="single" w:color="auto" w:sz="4" w:space="0"/>
              <w:left w:val="single" w:color="auto" w:sz="4" w:space="0"/>
              <w:right w:val="single" w:color="auto" w:sz="4" w:space="0"/>
            </w:tcBorders>
            <w:vAlign w:val="center"/>
          </w:tcPr>
          <w:p>
            <w:pPr>
              <w:pStyle w:val="104"/>
              <w:widowControl/>
              <w:jc w:val="center"/>
              <w:rPr>
                <w:rFonts w:ascii="方正仿宋_GBK" w:hAnsi="方正仿宋_GBK" w:eastAsia="方正仿宋_GBK" w:cs="方正仿宋_GBK"/>
                <w:sz w:val="24"/>
                <w:szCs w:val="24"/>
              </w:rPr>
            </w:pPr>
            <w:r>
              <w:rPr>
                <w:rFonts w:hint="eastAsia" w:ascii="方正仿宋_GBK" w:hAnsi="方正仿宋_GBK" w:eastAsia="方正仿宋_GBK" w:cs="方正仿宋_GBK"/>
                <w:color w:val="000000"/>
                <w:kern w:val="0"/>
                <w:sz w:val="24"/>
                <w:szCs w:val="24"/>
              </w:rPr>
              <w:t>保险费用</w:t>
            </w:r>
          </w:p>
        </w:tc>
        <w:tc>
          <w:tcPr>
            <w:tcW w:w="2425" w:type="dxa"/>
            <w:gridSpan w:val="2"/>
            <w:tcBorders>
              <w:top w:val="single" w:color="auto" w:sz="4" w:space="0"/>
              <w:left w:val="single" w:color="auto" w:sz="4" w:space="0"/>
              <w:bottom w:val="single" w:color="auto" w:sz="4" w:space="0"/>
              <w:right w:val="single" w:color="auto" w:sz="4" w:space="0"/>
            </w:tcBorders>
            <w:vAlign w:val="center"/>
          </w:tcPr>
          <w:p>
            <w:pPr>
              <w:pStyle w:val="104"/>
              <w:widowControl/>
              <w:jc w:val="center"/>
              <w:rPr>
                <w:rFonts w:ascii="方正仿宋_GBK" w:hAnsi="方正仿宋_GBK" w:eastAsia="方正仿宋_GBK" w:cs="方正仿宋_GBK"/>
                <w:sz w:val="24"/>
                <w:szCs w:val="24"/>
              </w:rPr>
            </w:pPr>
            <w:r>
              <w:rPr>
                <w:rFonts w:hint="eastAsia" w:ascii="方正仿宋_GBK" w:hAnsi="方正仿宋_GBK" w:eastAsia="方正仿宋_GBK" w:cs="方正仿宋_GBK"/>
                <w:color w:val="000000"/>
                <w:kern w:val="0"/>
                <w:sz w:val="24"/>
                <w:szCs w:val="24"/>
              </w:rPr>
              <w:t>….</w:t>
            </w:r>
          </w:p>
        </w:tc>
        <w:tc>
          <w:tcPr>
            <w:tcW w:w="1113"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15</w:t>
            </w:r>
          </w:p>
        </w:tc>
        <w:tc>
          <w:tcPr>
            <w:tcW w:w="1896" w:type="dxa"/>
            <w:gridSpan w:val="2"/>
            <w:vMerge w:val="continue"/>
            <w:tcBorders>
              <w:left w:val="single" w:color="auto" w:sz="4" w:space="0"/>
              <w:right w:val="single" w:color="auto" w:sz="4" w:space="0"/>
            </w:tcBorders>
            <w:vAlign w:val="center"/>
          </w:tcPr>
          <w:p>
            <w:pPr>
              <w:pStyle w:val="104"/>
              <w:widowControl/>
              <w:jc w:val="center"/>
              <w:rPr>
                <w:rFonts w:ascii="方正仿宋_GBK" w:hAnsi="方正仿宋_GBK" w:eastAsia="方正仿宋_GBK" w:cs="方正仿宋_GBK"/>
                <w:color w:val="000000"/>
                <w:kern w:val="0"/>
                <w:sz w:val="24"/>
                <w:szCs w:val="24"/>
              </w:rPr>
            </w:pPr>
          </w:p>
        </w:tc>
        <w:tc>
          <w:tcPr>
            <w:tcW w:w="2425" w:type="dxa"/>
            <w:gridSpan w:val="2"/>
            <w:tcBorders>
              <w:top w:val="single" w:color="auto" w:sz="4" w:space="0"/>
              <w:left w:val="single" w:color="auto" w:sz="4" w:space="0"/>
              <w:bottom w:val="single" w:color="auto" w:sz="4" w:space="0"/>
              <w:right w:val="single" w:color="auto" w:sz="4" w:space="0"/>
            </w:tcBorders>
            <w:vAlign w:val="center"/>
          </w:tcPr>
          <w:p>
            <w:pPr>
              <w:pStyle w:val="104"/>
              <w:widowControl/>
              <w:jc w:val="center"/>
              <w:rPr>
                <w:rFonts w:ascii="方正仿宋_GBK" w:hAnsi="方正仿宋_GBK" w:eastAsia="方正仿宋_GBK" w:cs="方正仿宋_GBK"/>
                <w:sz w:val="24"/>
                <w:szCs w:val="24"/>
              </w:rPr>
            </w:pPr>
            <w:r>
              <w:rPr>
                <w:rFonts w:hint="eastAsia" w:ascii="方正仿宋_GBK" w:hAnsi="方正仿宋_GBK" w:eastAsia="方正仿宋_GBK" w:cs="方正仿宋_GBK"/>
                <w:color w:val="000000"/>
                <w:kern w:val="0"/>
                <w:sz w:val="24"/>
                <w:szCs w:val="24"/>
              </w:rPr>
              <w:t>….</w:t>
            </w:r>
          </w:p>
        </w:tc>
        <w:tc>
          <w:tcPr>
            <w:tcW w:w="1113"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16</w:t>
            </w:r>
          </w:p>
        </w:tc>
        <w:tc>
          <w:tcPr>
            <w:tcW w:w="1896" w:type="dxa"/>
            <w:gridSpan w:val="2"/>
            <w:vMerge w:val="continue"/>
            <w:tcBorders>
              <w:left w:val="single" w:color="auto" w:sz="4" w:space="0"/>
              <w:bottom w:val="single" w:color="auto" w:sz="4" w:space="0"/>
              <w:right w:val="single" w:color="auto" w:sz="4" w:space="0"/>
            </w:tcBorders>
            <w:vAlign w:val="center"/>
          </w:tcPr>
          <w:p>
            <w:pPr>
              <w:pStyle w:val="104"/>
              <w:widowControl/>
              <w:jc w:val="center"/>
              <w:rPr>
                <w:rFonts w:ascii="方正仿宋_GBK" w:hAnsi="方正仿宋_GBK" w:eastAsia="方正仿宋_GBK" w:cs="方正仿宋_GBK"/>
                <w:color w:val="000000"/>
                <w:kern w:val="0"/>
                <w:sz w:val="24"/>
                <w:szCs w:val="24"/>
              </w:rPr>
            </w:pPr>
          </w:p>
        </w:tc>
        <w:tc>
          <w:tcPr>
            <w:tcW w:w="2425" w:type="dxa"/>
            <w:gridSpan w:val="2"/>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color w:val="000000"/>
                <w:kern w:val="0"/>
                <w:sz w:val="24"/>
              </w:rPr>
              <w:t>….</w:t>
            </w:r>
          </w:p>
        </w:tc>
        <w:tc>
          <w:tcPr>
            <w:tcW w:w="1113"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17</w:t>
            </w:r>
          </w:p>
        </w:tc>
        <w:tc>
          <w:tcPr>
            <w:tcW w:w="1896" w:type="dxa"/>
            <w:gridSpan w:val="2"/>
            <w:vMerge w:val="restart"/>
            <w:tcBorders>
              <w:top w:val="single" w:color="auto" w:sz="4" w:space="0"/>
              <w:left w:val="single" w:color="auto" w:sz="4" w:space="0"/>
              <w:right w:val="single" w:color="auto" w:sz="4" w:space="0"/>
            </w:tcBorders>
            <w:vAlign w:val="center"/>
          </w:tcPr>
          <w:p>
            <w:pPr>
              <w:pStyle w:val="104"/>
              <w:widowControl/>
              <w:jc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设备采购或者折旧费</w:t>
            </w:r>
          </w:p>
        </w:tc>
        <w:tc>
          <w:tcPr>
            <w:tcW w:w="2425" w:type="dxa"/>
            <w:gridSpan w:val="2"/>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13"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18</w:t>
            </w:r>
          </w:p>
        </w:tc>
        <w:tc>
          <w:tcPr>
            <w:tcW w:w="1896" w:type="dxa"/>
            <w:gridSpan w:val="2"/>
            <w:vMerge w:val="continue"/>
            <w:tcBorders>
              <w:left w:val="single" w:color="auto" w:sz="4" w:space="0"/>
              <w:bottom w:val="single" w:color="auto" w:sz="4" w:space="0"/>
              <w:right w:val="single" w:color="auto" w:sz="4" w:space="0"/>
            </w:tcBorders>
            <w:vAlign w:val="center"/>
          </w:tcPr>
          <w:p>
            <w:pPr>
              <w:pStyle w:val="104"/>
              <w:widowControl/>
              <w:jc w:val="center"/>
              <w:rPr>
                <w:rFonts w:ascii="方正仿宋_GBK" w:hAnsi="方正仿宋_GBK" w:eastAsia="方正仿宋_GBK" w:cs="方正仿宋_GBK"/>
                <w:color w:val="000000"/>
                <w:kern w:val="0"/>
                <w:sz w:val="24"/>
                <w:szCs w:val="24"/>
              </w:rPr>
            </w:pPr>
          </w:p>
        </w:tc>
        <w:tc>
          <w:tcPr>
            <w:tcW w:w="2425" w:type="dxa"/>
            <w:gridSpan w:val="2"/>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color w:val="000000"/>
                <w:kern w:val="0"/>
                <w:sz w:val="24"/>
              </w:rPr>
              <w:t>….</w:t>
            </w:r>
          </w:p>
        </w:tc>
        <w:tc>
          <w:tcPr>
            <w:tcW w:w="1113"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19</w:t>
            </w:r>
          </w:p>
        </w:tc>
        <w:tc>
          <w:tcPr>
            <w:tcW w:w="1896" w:type="dxa"/>
            <w:gridSpan w:val="2"/>
            <w:tcBorders>
              <w:top w:val="single" w:color="auto" w:sz="4" w:space="0"/>
              <w:left w:val="single" w:color="auto" w:sz="4" w:space="0"/>
              <w:bottom w:val="single" w:color="auto" w:sz="4" w:space="0"/>
              <w:right w:val="single" w:color="auto" w:sz="4" w:space="0"/>
            </w:tcBorders>
            <w:vAlign w:val="center"/>
          </w:tcPr>
          <w:p>
            <w:pPr>
              <w:pStyle w:val="104"/>
              <w:widowControl/>
              <w:jc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耗材(办公用品、工作服等)</w:t>
            </w:r>
          </w:p>
        </w:tc>
        <w:tc>
          <w:tcPr>
            <w:tcW w:w="2425" w:type="dxa"/>
            <w:gridSpan w:val="2"/>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13"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20</w:t>
            </w:r>
          </w:p>
        </w:tc>
        <w:tc>
          <w:tcPr>
            <w:tcW w:w="1896" w:type="dxa"/>
            <w:gridSpan w:val="2"/>
            <w:tcBorders>
              <w:top w:val="single" w:color="auto" w:sz="4" w:space="0"/>
              <w:left w:val="single" w:color="auto" w:sz="4" w:space="0"/>
              <w:bottom w:val="single" w:color="auto" w:sz="4" w:space="0"/>
              <w:right w:val="single" w:color="auto" w:sz="4" w:space="0"/>
            </w:tcBorders>
            <w:vAlign w:val="center"/>
          </w:tcPr>
          <w:p>
            <w:pPr>
              <w:pStyle w:val="104"/>
              <w:widowControl/>
              <w:jc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人员福利核算（中秋、春节等）</w:t>
            </w:r>
          </w:p>
        </w:tc>
        <w:tc>
          <w:tcPr>
            <w:tcW w:w="2425" w:type="dxa"/>
            <w:gridSpan w:val="2"/>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13"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21</w:t>
            </w:r>
          </w:p>
        </w:tc>
        <w:tc>
          <w:tcPr>
            <w:tcW w:w="1896" w:type="dxa"/>
            <w:gridSpan w:val="2"/>
            <w:tcBorders>
              <w:top w:val="single" w:color="auto" w:sz="4" w:space="0"/>
              <w:left w:val="single" w:color="auto" w:sz="4" w:space="0"/>
              <w:bottom w:val="single" w:color="auto" w:sz="4" w:space="0"/>
              <w:right w:val="single" w:color="auto" w:sz="4" w:space="0"/>
            </w:tcBorders>
            <w:vAlign w:val="center"/>
          </w:tcPr>
          <w:p>
            <w:pPr>
              <w:pStyle w:val="104"/>
              <w:widowControl/>
              <w:jc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税费</w:t>
            </w:r>
          </w:p>
        </w:tc>
        <w:tc>
          <w:tcPr>
            <w:tcW w:w="2425" w:type="dxa"/>
            <w:gridSpan w:val="2"/>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13"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654"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896" w:type="dxa"/>
            <w:gridSpan w:val="2"/>
            <w:tcBorders>
              <w:top w:val="single" w:color="auto" w:sz="4" w:space="0"/>
              <w:left w:val="single" w:color="auto" w:sz="4" w:space="0"/>
              <w:bottom w:val="single" w:color="auto" w:sz="4" w:space="0"/>
              <w:right w:val="single" w:color="auto" w:sz="4" w:space="0"/>
            </w:tcBorders>
            <w:vAlign w:val="center"/>
          </w:tcPr>
          <w:p>
            <w:pPr>
              <w:pStyle w:val="104"/>
              <w:widowControl/>
              <w:jc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w:t>
            </w:r>
          </w:p>
        </w:tc>
        <w:tc>
          <w:tcPr>
            <w:tcW w:w="2425" w:type="dxa"/>
            <w:gridSpan w:val="2"/>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1113"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pStyle w:val="191"/>
              <w:widowControl/>
              <w:spacing w:line="560" w:lineRule="exact"/>
              <w:jc w:val="center"/>
              <w:rPr>
                <w:rFonts w:ascii="方正仿宋_GBK" w:hAnsi="方正仿宋_GBK" w:eastAsia="方正仿宋_GBK" w:cs="方正仿宋_GBK"/>
                <w:sz w:val="24"/>
              </w:rPr>
            </w:pPr>
          </w:p>
        </w:tc>
        <w:tc>
          <w:tcPr>
            <w:tcW w:w="856"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c>
          <w:tcPr>
            <w:tcW w:w="991" w:type="dxa"/>
            <w:tcBorders>
              <w:top w:val="single" w:color="auto" w:sz="4" w:space="0"/>
              <w:left w:val="single" w:color="auto" w:sz="4" w:space="0"/>
              <w:bottom w:val="single" w:color="auto" w:sz="4" w:space="0"/>
              <w:right w:val="single" w:color="auto" w:sz="4" w:space="0"/>
            </w:tcBorders>
            <w:vAlign w:val="center"/>
          </w:tcPr>
          <w:p>
            <w:pPr>
              <w:pStyle w:val="191"/>
              <w:spacing w:line="560" w:lineRule="exact"/>
              <w:jc w:val="center"/>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6" w:hRule="atLeast"/>
        </w:trPr>
        <w:tc>
          <w:tcPr>
            <w:tcW w:w="2061" w:type="dxa"/>
            <w:gridSpan w:val="2"/>
            <w:tcBorders>
              <w:top w:val="single" w:color="auto" w:sz="4" w:space="0"/>
              <w:left w:val="single" w:color="auto" w:sz="4" w:space="0"/>
              <w:bottom w:val="single" w:color="auto" w:sz="4" w:space="0"/>
              <w:right w:val="single" w:color="auto" w:sz="4" w:space="0"/>
            </w:tcBorders>
            <w:vAlign w:val="center"/>
          </w:tcPr>
          <w:p>
            <w:pPr>
              <w:pStyle w:val="191"/>
              <w:spacing w:line="500" w:lineRule="exact"/>
              <w:jc w:val="center"/>
              <w:rPr>
                <w:rFonts w:ascii="方正仿宋_GBK" w:hAnsi="方正仿宋_GBK" w:eastAsia="方正仿宋_GBK" w:cs="方正仿宋_GBK"/>
                <w:b/>
                <w:bCs/>
                <w:sz w:val="24"/>
              </w:rPr>
            </w:pPr>
            <w:r>
              <w:rPr>
                <w:rFonts w:hint="eastAsia" w:ascii="方正仿宋_GBK" w:hAnsi="方正仿宋_GBK" w:eastAsia="方正仿宋_GBK" w:cs="方正仿宋_GBK"/>
                <w:b/>
                <w:bCs/>
                <w:sz w:val="28"/>
                <w:szCs w:val="28"/>
              </w:rPr>
              <w:t>报价总计</w:t>
            </w:r>
          </w:p>
        </w:tc>
        <w:tc>
          <w:tcPr>
            <w:tcW w:w="6924" w:type="dxa"/>
            <w:gridSpan w:val="7"/>
            <w:tcBorders>
              <w:top w:val="single" w:color="auto" w:sz="4" w:space="0"/>
              <w:left w:val="single" w:color="auto" w:sz="4" w:space="0"/>
              <w:bottom w:val="single" w:color="auto" w:sz="4" w:space="0"/>
              <w:right w:val="single" w:color="auto" w:sz="4" w:space="0"/>
            </w:tcBorders>
            <w:vAlign w:val="center"/>
          </w:tcPr>
          <w:p>
            <w:pPr>
              <w:pStyle w:val="191"/>
              <w:spacing w:line="500" w:lineRule="exact"/>
              <w:rPr>
                <w:rFonts w:ascii="方正仿宋_GBK" w:hAnsi="方正仿宋_GBK" w:eastAsia="方正仿宋_GBK" w:cs="方正仿宋_GBK"/>
                <w:b/>
                <w:bCs/>
                <w:sz w:val="24"/>
              </w:rPr>
            </w:pPr>
            <w:r>
              <w:rPr>
                <w:rFonts w:hint="eastAsia" w:ascii="方正仿宋_GBK" w:hAnsi="方正仿宋_GBK" w:eastAsia="方正仿宋_GBK" w:cs="方正仿宋_GBK"/>
                <w:b/>
                <w:bCs/>
                <w:sz w:val="24"/>
                <w:szCs w:val="22"/>
              </w:rPr>
              <w:t>￥</w:t>
            </w:r>
            <w:r>
              <w:rPr>
                <w:rFonts w:hint="eastAsia" w:ascii="方正仿宋_GBK" w:hAnsi="方正仿宋_GBK" w:eastAsia="方正仿宋_GBK" w:cs="方正仿宋_GBK"/>
                <w:sz w:val="24"/>
                <w:szCs w:val="22"/>
              </w:rPr>
              <w:t xml:space="preserve">  </w:t>
            </w:r>
            <w:r>
              <w:rPr>
                <w:rFonts w:hint="eastAsia" w:ascii="方正仿宋_GBK" w:hAnsi="方正仿宋_GBK" w:eastAsia="方正仿宋_GBK" w:cs="方正仿宋_GBK"/>
                <w:sz w:val="24"/>
                <w:u w:val="single"/>
              </w:rPr>
              <w:t xml:space="preserve">                    </w:t>
            </w:r>
          </w:p>
          <w:p>
            <w:pPr>
              <w:pStyle w:val="191"/>
              <w:spacing w:line="500" w:lineRule="exact"/>
              <w:jc w:val="center"/>
              <w:rPr>
                <w:rFonts w:ascii="方正仿宋_GBK" w:hAnsi="方正仿宋_GBK" w:eastAsia="方正仿宋_GBK" w:cs="方正仿宋_GBK"/>
                <w:b/>
                <w:bCs/>
                <w:sz w:val="24"/>
              </w:rPr>
            </w:pPr>
            <w:r>
              <w:rPr>
                <w:rFonts w:hint="eastAsia" w:ascii="方正仿宋_GBK" w:hAnsi="方正仿宋_GBK" w:eastAsia="方正仿宋_GBK" w:cs="方正仿宋_GBK"/>
                <w:b/>
                <w:bCs/>
                <w:sz w:val="24"/>
              </w:rPr>
              <w:t>人民币（大写）：</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bCs/>
                <w:sz w:val="24"/>
              </w:rPr>
              <w:t>佰</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bCs/>
                <w:sz w:val="24"/>
              </w:rPr>
              <w:t>拾</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bCs/>
                <w:sz w:val="24"/>
              </w:rPr>
              <w:t xml:space="preserve"> 万</w:t>
            </w:r>
            <w:r>
              <w:rPr>
                <w:rFonts w:hint="eastAsia" w:ascii="方正仿宋_GBK" w:hAnsi="方正仿宋_GBK" w:eastAsia="方正仿宋_GBK" w:cs="方正仿宋_GBK"/>
                <w:bCs/>
                <w:sz w:val="24"/>
                <w:u w:val="single"/>
              </w:rPr>
              <w:t xml:space="preserve">    </w:t>
            </w:r>
            <w:r>
              <w:rPr>
                <w:rFonts w:hint="eastAsia" w:ascii="方正仿宋_GBK" w:hAnsi="方正仿宋_GBK" w:eastAsia="方正仿宋_GBK" w:cs="方正仿宋_GBK"/>
                <w:bCs/>
                <w:sz w:val="24"/>
              </w:rPr>
              <w:t>仟</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bCs/>
                <w:sz w:val="24"/>
              </w:rPr>
              <w:t>佰</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bCs/>
                <w:sz w:val="24"/>
              </w:rPr>
              <w:t>拾</w:t>
            </w:r>
            <w:r>
              <w:rPr>
                <w:rFonts w:hint="eastAsia" w:ascii="方正仿宋_GBK" w:hAnsi="方正仿宋_GBK" w:eastAsia="方正仿宋_GBK" w:cs="方正仿宋_GBK"/>
                <w:sz w:val="24"/>
              </w:rPr>
              <w:t xml:space="preserve">     </w:t>
            </w:r>
            <w:r>
              <w:rPr>
                <w:rFonts w:hint="eastAsia" w:ascii="方正仿宋_GBK" w:hAnsi="方正仿宋_GBK" w:eastAsia="方正仿宋_GBK" w:cs="方正仿宋_GBK"/>
                <w:bCs/>
                <w:sz w:val="24"/>
              </w:rPr>
              <w:t>元</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bCs/>
                <w:sz w:val="24"/>
              </w:rPr>
              <w:t>角</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bCs/>
                <w:sz w:val="24"/>
              </w:rPr>
              <w:t>分</w:t>
            </w:r>
          </w:p>
        </w:tc>
      </w:tr>
    </w:tbl>
    <w:p>
      <w:pPr>
        <w:pStyle w:val="104"/>
        <w:widowControl/>
        <w:adjustRightInd w:val="0"/>
        <w:spacing w:line="400" w:lineRule="exact"/>
        <w:ind w:firstLine="480" w:firstLineChars="200"/>
        <w:jc w:val="left"/>
        <w:rPr>
          <w:rFonts w:ascii="方正仿宋_GBK" w:hAnsi="方正仿宋_GBK" w:eastAsia="方正仿宋_GBK" w:cs="方正仿宋_GBK"/>
          <w:b/>
          <w:sz w:val="24"/>
        </w:rPr>
      </w:pPr>
      <w:r>
        <w:rPr>
          <w:rFonts w:hint="eastAsia" w:ascii="方正仿宋_GBK" w:hAnsi="方正仿宋_GBK" w:eastAsia="方正仿宋_GBK" w:cs="方正仿宋_GBK"/>
          <w:sz w:val="24"/>
        </w:rPr>
        <w:t>注：</w:t>
      </w:r>
      <w:r>
        <w:rPr>
          <w:rFonts w:hint="eastAsia" w:ascii="方正仿宋_GBK" w:hAnsi="方正仿宋_GBK" w:eastAsia="方正仿宋_GBK" w:cs="方正仿宋_GBK"/>
          <w:sz w:val="24"/>
          <w:szCs w:val="30"/>
        </w:rPr>
        <w:t>供应商应分项进行填报，表中表格行数可自行添加。报价应包含</w:t>
      </w:r>
      <w:r>
        <w:rPr>
          <w:rFonts w:hint="eastAsia" w:ascii="方正仿宋_GBK" w:hAnsi="方正仿宋_GBK" w:eastAsia="方正仿宋_GBK" w:cs="方正仿宋_GBK"/>
          <w:iCs/>
          <w:sz w:val="24"/>
          <w:szCs w:val="28"/>
        </w:rPr>
        <w:t>项目实施过程中一切相关费用。</w:t>
      </w:r>
      <w:r>
        <w:rPr>
          <w:rFonts w:hint="eastAsia" w:ascii="方正仿宋_GBK" w:hAnsi="方正仿宋_GBK" w:eastAsia="方正仿宋_GBK" w:cs="方正仿宋_GBK"/>
          <w:b/>
          <w:sz w:val="24"/>
          <w:szCs w:val="30"/>
        </w:rPr>
        <w:t>表中报价总计应与对应开标（报价）一览表中总价一致</w:t>
      </w:r>
      <w:r>
        <w:rPr>
          <w:rFonts w:hint="eastAsia" w:ascii="方正仿宋_GBK" w:hAnsi="方正仿宋_GBK" w:eastAsia="方正仿宋_GBK" w:cs="方正仿宋_GBK"/>
          <w:b/>
          <w:sz w:val="24"/>
        </w:rPr>
        <w:t>。</w:t>
      </w:r>
    </w:p>
    <w:p>
      <w:pPr>
        <w:pStyle w:val="104"/>
        <w:jc w:val="right"/>
        <w:rPr>
          <w:rFonts w:ascii="方正仿宋_GBK" w:hAnsi="方正仿宋_GBK" w:eastAsia="方正仿宋_GBK" w:cs="方正仿宋_GBK"/>
          <w:kern w:val="0"/>
          <w:sz w:val="24"/>
        </w:rPr>
      </w:pPr>
    </w:p>
    <w:p>
      <w:pPr>
        <w:pStyle w:val="104"/>
        <w:jc w:val="right"/>
        <w:rPr>
          <w:rFonts w:ascii="方正仿宋_GBK" w:hAnsi="方正仿宋_GBK" w:eastAsia="方正仿宋_GBK" w:cs="方正仿宋_GBK"/>
          <w:kern w:val="0"/>
          <w:sz w:val="24"/>
        </w:rPr>
      </w:pPr>
    </w:p>
    <w:p>
      <w:pPr>
        <w:pStyle w:val="104"/>
        <w:rPr>
          <w:rFonts w:ascii="方正仿宋_GBK" w:hAnsi="方正仿宋_GBK" w:eastAsia="方正仿宋_GBK" w:cs="方正仿宋_GBK"/>
        </w:rPr>
      </w:pPr>
      <w:r>
        <w:rPr>
          <w:rFonts w:hint="eastAsia" w:ascii="方正仿宋_GBK" w:hAnsi="方正仿宋_GBK" w:eastAsia="方正仿宋_GBK" w:cs="方正仿宋_GBK"/>
          <w:kern w:val="0"/>
          <w:sz w:val="24"/>
        </w:rPr>
        <w:t>单位名称：</w:t>
      </w:r>
      <w:r>
        <w:rPr>
          <w:rFonts w:hint="eastAsia" w:ascii="方正仿宋_GBK" w:hAnsi="方正仿宋_GBK" w:eastAsia="方正仿宋_GBK" w:cs="方正仿宋_GBK"/>
          <w:kern w:val="0"/>
          <w:sz w:val="24"/>
          <w:u w:val="single"/>
        </w:rPr>
        <w:t xml:space="preserve">             </w:t>
      </w:r>
      <w:r>
        <w:rPr>
          <w:rFonts w:hint="eastAsia" w:ascii="方正仿宋_GBK" w:hAnsi="方正仿宋_GBK" w:eastAsia="方正仿宋_GBK" w:cs="方正仿宋_GBK"/>
          <w:kern w:val="0"/>
          <w:sz w:val="24"/>
        </w:rPr>
        <w:t>（电子签章）</w:t>
      </w:r>
    </w:p>
    <w:p>
      <w:pPr>
        <w:pStyle w:val="3"/>
        <w:keepNext w:val="0"/>
        <w:snapToGrid w:val="0"/>
        <w:spacing w:before="120" w:after="120"/>
        <w:jc w:val="left"/>
        <w:rPr>
          <w:rFonts w:ascii="Times New Roman" w:hAnsi="Times New Roman" w:eastAsia="宋体" w:cs="Times New Roman"/>
          <w:kern w:val="0"/>
          <w:sz w:val="32"/>
          <w:szCs w:val="32"/>
        </w:rPr>
      </w:pPr>
      <w:r>
        <w:br w:type="page"/>
      </w:r>
      <w:r>
        <w:rPr>
          <w:rFonts w:hint="eastAsia" w:ascii="Times New Roman" w:hAnsi="Times New Roman" w:eastAsia="宋体" w:cs="Times New Roman"/>
          <w:kern w:val="0"/>
          <w:sz w:val="32"/>
          <w:szCs w:val="32"/>
        </w:rPr>
        <w:t>六、中小企业声明函（服务）（分包号：**）</w:t>
      </w:r>
    </w:p>
    <w:p>
      <w:pPr>
        <w:spacing w:line="560" w:lineRule="exact"/>
        <w:ind w:firstLine="360" w:firstLineChars="15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本公司（联合体）郑重声明，根据《政府采购促进中小企业发展管理办法》(财库[2020]46号)的规定，本公司（联合体）参加江苏省政府采购代理机构组织的</w:t>
      </w:r>
      <w:r>
        <w:rPr>
          <w:rFonts w:hint="eastAsia" w:ascii="方正仿宋_GBK" w:hAnsi="方正仿宋_GBK" w:eastAsia="方正仿宋_GBK" w:cs="方正仿宋_GBK"/>
          <w:sz w:val="24"/>
          <w:szCs w:val="24"/>
          <w:u w:val="single"/>
        </w:rPr>
        <w:t>（单位名称）</w:t>
      </w:r>
      <w:r>
        <w:rPr>
          <w:rFonts w:hint="eastAsia" w:ascii="方正仿宋_GBK" w:hAnsi="方正仿宋_GBK" w:eastAsia="方正仿宋_GBK" w:cs="方正仿宋_GBK"/>
          <w:sz w:val="24"/>
          <w:szCs w:val="24"/>
        </w:rPr>
        <w:t>采购编号为</w:t>
      </w:r>
      <w:r>
        <w:rPr>
          <w:rFonts w:hint="eastAsia" w:ascii="方正仿宋_GBK" w:hAnsi="方正仿宋_GBK" w:eastAsia="方正仿宋_GBK" w:cs="方正仿宋_GBK"/>
          <w:sz w:val="24"/>
          <w:szCs w:val="24"/>
          <w:u w:val="single"/>
        </w:rPr>
        <w:t>***</w:t>
      </w: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u w:val="single"/>
        </w:rPr>
        <w:t>（项目名称）（分包号：**）</w:t>
      </w:r>
      <w:r>
        <w:rPr>
          <w:rFonts w:hint="eastAsia" w:ascii="方正仿宋_GBK" w:hAnsi="方正仿宋_GBK" w:eastAsia="方正仿宋_GBK" w:cs="方正仿宋_GBK"/>
          <w:sz w:val="24"/>
          <w:szCs w:val="24"/>
        </w:rPr>
        <w:t>的采购活动，服务全部由符合政策的中小微企业承接。根据《工业和信息化部、国家统计局、国家发展和改革委员会、财政部关于印发中小企业划型标准规定的通知》(工信部联企业[2011]300号)的规定，相关企业（含联合体中的小微企业、签订分包意向协议的小微企业）的具体情况如下：</w:t>
      </w:r>
    </w:p>
    <w:p>
      <w:pPr>
        <w:spacing w:line="360" w:lineRule="auto"/>
        <w:ind w:firstLine="360"/>
        <w:rPr>
          <w:rFonts w:ascii="方正仿宋_GBK" w:hAnsi="方正仿宋_GBK" w:eastAsia="方正仿宋_GBK" w:cs="方正仿宋_GBK"/>
          <w:i/>
          <w:sz w:val="24"/>
          <w:szCs w:val="24"/>
          <w:u w:val="single"/>
        </w:rPr>
      </w:pPr>
      <w:r>
        <w:rPr>
          <w:rFonts w:hint="eastAsia" w:ascii="方正仿宋_GBK" w:hAnsi="方正仿宋_GBK" w:eastAsia="方正仿宋_GBK" w:cs="方正仿宋_GBK"/>
          <w:sz w:val="24"/>
          <w:szCs w:val="24"/>
        </w:rPr>
        <w:t>1.</w:t>
      </w:r>
      <w:r>
        <w:rPr>
          <w:rFonts w:hint="eastAsia" w:ascii="方正仿宋_GBK" w:hAnsi="方正仿宋_GBK" w:eastAsia="方正仿宋_GBK" w:cs="方正仿宋_GBK"/>
          <w:sz w:val="24"/>
          <w:szCs w:val="24"/>
          <w:u w:val="single"/>
        </w:rPr>
        <w:t>（标的名称）</w:t>
      </w:r>
      <w:r>
        <w:rPr>
          <w:rFonts w:hint="eastAsia" w:ascii="方正仿宋_GBK" w:hAnsi="方正仿宋_GBK" w:eastAsia="方正仿宋_GBK" w:cs="方正仿宋_GBK"/>
          <w:i/>
          <w:sz w:val="24"/>
          <w:szCs w:val="24"/>
        </w:rPr>
        <w:t>，</w:t>
      </w:r>
      <w:r>
        <w:rPr>
          <w:rFonts w:hint="eastAsia" w:ascii="方正仿宋_GBK" w:hAnsi="方正仿宋_GBK" w:eastAsia="方正仿宋_GBK" w:cs="方正仿宋_GBK"/>
          <w:sz w:val="24"/>
          <w:szCs w:val="24"/>
        </w:rPr>
        <w:t>属于</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行业；承接企业为</w:t>
      </w:r>
      <w:r>
        <w:rPr>
          <w:rFonts w:hint="eastAsia" w:ascii="方正仿宋_GBK" w:hAnsi="方正仿宋_GBK" w:eastAsia="方正仿宋_GBK" w:cs="方正仿宋_GBK"/>
          <w:sz w:val="24"/>
          <w:szCs w:val="24"/>
          <w:u w:val="single"/>
        </w:rPr>
        <w:t>（企业名称）</w:t>
      </w:r>
      <w:r>
        <w:rPr>
          <w:rFonts w:hint="eastAsia" w:ascii="方正仿宋_GBK" w:hAnsi="方正仿宋_GBK" w:eastAsia="方正仿宋_GBK" w:cs="方正仿宋_GBK"/>
          <w:sz w:val="24"/>
          <w:szCs w:val="24"/>
        </w:rPr>
        <w:t>，从业人员</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人，营业收入为</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万元，资产总额为</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万元</w:t>
      </w:r>
      <w:r>
        <w:rPr>
          <w:rFonts w:hint="eastAsia" w:ascii="方正仿宋_GBK" w:hAnsi="方正仿宋_GBK" w:eastAsia="方正仿宋_GBK" w:cs="方正仿宋_GBK"/>
          <w:sz w:val="24"/>
          <w:szCs w:val="24"/>
          <w:vertAlign w:val="superscript"/>
        </w:rPr>
        <w:t>1</w:t>
      </w:r>
      <w:r>
        <w:rPr>
          <w:rFonts w:hint="eastAsia" w:ascii="方正仿宋_GBK" w:hAnsi="方正仿宋_GBK" w:eastAsia="方正仿宋_GBK" w:cs="方正仿宋_GBK"/>
          <w:sz w:val="24"/>
          <w:szCs w:val="24"/>
        </w:rPr>
        <w:t>，属于</w:t>
      </w:r>
      <w:r>
        <w:rPr>
          <w:rFonts w:hint="eastAsia" w:ascii="方正仿宋_GBK" w:hAnsi="方正仿宋_GBK" w:eastAsia="方正仿宋_GBK" w:cs="方正仿宋_GBK"/>
          <w:sz w:val="24"/>
          <w:szCs w:val="24"/>
          <w:u w:val="single"/>
        </w:rPr>
        <w:t>（中型企业、小型企业、微型企业）；</w:t>
      </w:r>
    </w:p>
    <w:p>
      <w:pPr>
        <w:spacing w:line="360" w:lineRule="auto"/>
        <w:ind w:firstLine="360"/>
        <w:rPr>
          <w:rFonts w:ascii="方正仿宋_GBK" w:hAnsi="方正仿宋_GBK" w:eastAsia="方正仿宋_GBK" w:cs="方正仿宋_GBK"/>
          <w:i/>
          <w:sz w:val="24"/>
          <w:szCs w:val="24"/>
          <w:u w:val="single"/>
        </w:rPr>
      </w:pP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u w:val="single"/>
        </w:rPr>
        <w:t>（标的名称）</w:t>
      </w:r>
      <w:r>
        <w:rPr>
          <w:rFonts w:hint="eastAsia" w:ascii="方正仿宋_GBK" w:hAnsi="方正仿宋_GBK" w:eastAsia="方正仿宋_GBK" w:cs="方正仿宋_GBK"/>
          <w:i/>
          <w:sz w:val="24"/>
          <w:szCs w:val="24"/>
        </w:rPr>
        <w:t>，</w:t>
      </w:r>
      <w:r>
        <w:rPr>
          <w:rFonts w:hint="eastAsia" w:ascii="方正仿宋_GBK" w:hAnsi="方正仿宋_GBK" w:eastAsia="方正仿宋_GBK" w:cs="方正仿宋_GBK"/>
          <w:sz w:val="24"/>
          <w:szCs w:val="24"/>
        </w:rPr>
        <w:t>属于</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行业；承接企业为</w:t>
      </w:r>
      <w:r>
        <w:rPr>
          <w:rFonts w:hint="eastAsia" w:ascii="方正仿宋_GBK" w:hAnsi="方正仿宋_GBK" w:eastAsia="方正仿宋_GBK" w:cs="方正仿宋_GBK"/>
          <w:sz w:val="24"/>
          <w:szCs w:val="24"/>
          <w:u w:val="single"/>
        </w:rPr>
        <w:t>（企业名称）</w:t>
      </w:r>
      <w:r>
        <w:rPr>
          <w:rFonts w:hint="eastAsia" w:ascii="方正仿宋_GBK" w:hAnsi="方正仿宋_GBK" w:eastAsia="方正仿宋_GBK" w:cs="方正仿宋_GBK"/>
          <w:sz w:val="24"/>
          <w:szCs w:val="24"/>
        </w:rPr>
        <w:t>，从业人员</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人，营业收入为</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万元，资产总额为</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万元</w:t>
      </w:r>
      <w:r>
        <w:rPr>
          <w:rFonts w:hint="eastAsia" w:ascii="方正仿宋_GBK" w:hAnsi="方正仿宋_GBK" w:eastAsia="方正仿宋_GBK" w:cs="方正仿宋_GBK"/>
          <w:sz w:val="24"/>
          <w:szCs w:val="24"/>
          <w:vertAlign w:val="superscript"/>
        </w:rPr>
        <w:t>1</w:t>
      </w:r>
      <w:r>
        <w:rPr>
          <w:rFonts w:hint="eastAsia" w:ascii="方正仿宋_GBK" w:hAnsi="方正仿宋_GBK" w:eastAsia="方正仿宋_GBK" w:cs="方正仿宋_GBK"/>
          <w:sz w:val="24"/>
          <w:szCs w:val="24"/>
        </w:rPr>
        <w:t>，属于</w:t>
      </w:r>
      <w:r>
        <w:rPr>
          <w:rFonts w:hint="eastAsia" w:ascii="方正仿宋_GBK" w:hAnsi="方正仿宋_GBK" w:eastAsia="方正仿宋_GBK" w:cs="方正仿宋_GBK"/>
          <w:sz w:val="24"/>
          <w:szCs w:val="24"/>
          <w:u w:val="single"/>
        </w:rPr>
        <w:t>（中型企业、小型企业、微型企业）；</w:t>
      </w:r>
    </w:p>
    <w:p>
      <w:pPr>
        <w:spacing w:line="360" w:lineRule="auto"/>
        <w:ind w:firstLine="36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p>
      <w:pPr>
        <w:spacing w:line="360" w:lineRule="auto"/>
        <w:ind w:firstLine="36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以上企业，不属于大企业的分支机构，不存在控股股东为大企业的情形，也不存在与大企业的负责人为同一人的情形。</w:t>
      </w:r>
    </w:p>
    <w:p>
      <w:pPr>
        <w:spacing w:line="360" w:lineRule="auto"/>
        <w:ind w:firstLine="36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本企业对上述声明内容的真实性负责。如有虚假，将依法承担相应责任。</w:t>
      </w:r>
    </w:p>
    <w:p>
      <w:pPr>
        <w:spacing w:line="360" w:lineRule="auto"/>
        <w:ind w:firstLine="360"/>
        <w:rPr>
          <w:rFonts w:ascii="方正仿宋_GBK" w:hAnsi="方正仿宋_GBK" w:eastAsia="方正仿宋_GBK" w:cs="方正仿宋_GBK"/>
          <w:sz w:val="24"/>
          <w:szCs w:val="24"/>
        </w:rPr>
      </w:pPr>
    </w:p>
    <w:p>
      <w:pPr>
        <w:spacing w:line="360" w:lineRule="auto"/>
        <w:ind w:firstLine="36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备注：1、从业人员、营业收入、资产总额填报上一年度数据，无上一年度数据的新成立企业可不填报。2、投标人如不提供此声明函，不得参加专门面向中小企业采购项目或者不得享受小微企业价格扣除政策。此声明函将随成交结果同时公告，接受社会监督。3、服务采购项目中，服务的承接商应当为中小企业，不对其中涉及的货物的制造商、工程的承建商作出要求。）</w:t>
      </w:r>
    </w:p>
    <w:p>
      <w:pPr>
        <w:spacing w:line="360" w:lineRule="auto"/>
        <w:ind w:right="720"/>
        <w:rPr>
          <w:rFonts w:ascii="方正仿宋_GBK" w:hAnsi="方正仿宋_GBK" w:eastAsia="方正仿宋_GBK" w:cs="方正仿宋_GBK"/>
          <w:sz w:val="24"/>
          <w:szCs w:val="24"/>
        </w:rPr>
      </w:pPr>
    </w:p>
    <w:p>
      <w:pPr>
        <w:spacing w:line="360" w:lineRule="auto"/>
        <w:ind w:right="180" w:firstLine="360"/>
        <w:jc w:val="righ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企业名称：（加盖CA电子公章）</w:t>
      </w:r>
    </w:p>
    <w:p>
      <w:pPr>
        <w:spacing w:line="360" w:lineRule="auto"/>
        <w:ind w:firstLine="576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日  期：</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年___月___日</w:t>
      </w:r>
    </w:p>
    <w:p>
      <w:pPr>
        <w:spacing w:line="360" w:lineRule="auto"/>
        <w:jc w:val="center"/>
        <w:rPr>
          <w:rFonts w:eastAsia="黑体"/>
          <w:sz w:val="32"/>
          <w:szCs w:val="32"/>
        </w:rPr>
      </w:pPr>
    </w:p>
    <w:p>
      <w:pPr>
        <w:spacing w:line="360" w:lineRule="auto"/>
        <w:jc w:val="center"/>
        <w:outlineLvl w:val="0"/>
        <w:rPr>
          <w:rFonts w:eastAsia="黑体"/>
          <w:sz w:val="32"/>
          <w:szCs w:val="32"/>
        </w:rPr>
      </w:pPr>
      <w:r>
        <w:rPr>
          <w:rFonts w:hint="eastAsia" w:eastAsia="黑体"/>
          <w:sz w:val="32"/>
          <w:szCs w:val="32"/>
        </w:rPr>
        <w:br w:type="page"/>
      </w:r>
      <w:bookmarkStart w:id="167" w:name="_Toc6363"/>
      <w:bookmarkStart w:id="168" w:name="_Toc21769"/>
      <w:r>
        <w:rPr>
          <w:rFonts w:hint="eastAsia" w:eastAsia="黑体"/>
          <w:sz w:val="32"/>
          <w:szCs w:val="32"/>
        </w:rPr>
        <w:t>残疾人福利性单位声明函</w:t>
      </w:r>
      <w:bookmarkEnd w:id="167"/>
      <w:bookmarkEnd w:id="168"/>
    </w:p>
    <w:p>
      <w:pPr>
        <w:spacing w:line="360" w:lineRule="auto"/>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rPr>
        <w:t>本单位郑重声明，根据《财政部 民政部 中国残疾人联合会关于促进残疾人就业政府采购政策的通知》（财库〔2017〕 141号）的规定，本单位为符合条件的残疾人福利性单位，且本单位参加______单位的采购文件编号为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的</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项目（分包号：**）采购活动由本单位提供服务。</w:t>
      </w:r>
    </w:p>
    <w:p>
      <w:pPr>
        <w:spacing w:line="360" w:lineRule="auto"/>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rPr>
        <w:t>本单位对上述声明的真实性负责。如有虚假，将依法承担相应责任。</w:t>
      </w:r>
    </w:p>
    <w:p>
      <w:pPr>
        <w:spacing w:line="360" w:lineRule="auto"/>
        <w:ind w:firstLine="480"/>
        <w:rPr>
          <w:rFonts w:ascii="方正仿宋_GBK" w:hAnsi="方正仿宋_GBK" w:eastAsia="方正仿宋_GBK" w:cs="方正仿宋_GBK"/>
          <w:sz w:val="24"/>
        </w:rPr>
      </w:pPr>
    </w:p>
    <w:p>
      <w:pPr>
        <w:spacing w:line="360" w:lineRule="auto"/>
        <w:ind w:firstLine="480"/>
        <w:rPr>
          <w:rFonts w:ascii="方正仿宋_GBK" w:hAnsi="方正仿宋_GBK" w:eastAsia="方正仿宋_GBK" w:cs="方正仿宋_GBK"/>
          <w:sz w:val="24"/>
        </w:rPr>
      </w:pPr>
      <w:r>
        <w:rPr>
          <w:rFonts w:hint="eastAsia" w:ascii="方正仿宋_GBK" w:hAnsi="方正仿宋_GBK" w:eastAsia="方正仿宋_GBK" w:cs="方正仿宋_GBK"/>
          <w:sz w:val="24"/>
        </w:rPr>
        <w:t>（备注：1、投标人如不提供此声明函，价格将不做相应扣除。2、中标人为残疾人福利单位的，此声明函将随中标结果同时公告，接受社会监督。）</w:t>
      </w:r>
    </w:p>
    <w:p>
      <w:pPr>
        <w:spacing w:line="360" w:lineRule="auto"/>
        <w:ind w:firstLine="624"/>
        <w:rPr>
          <w:rFonts w:ascii="方正仿宋_GBK" w:hAnsi="方正仿宋_GBK" w:eastAsia="方正仿宋_GBK" w:cs="方正仿宋_GBK"/>
          <w:spacing w:val="6"/>
          <w:sz w:val="30"/>
          <w:szCs w:val="30"/>
        </w:rPr>
      </w:pPr>
    </w:p>
    <w:p>
      <w:pPr>
        <w:pStyle w:val="145"/>
        <w:spacing w:line="360" w:lineRule="auto"/>
        <w:rPr>
          <w:rFonts w:ascii="方正仿宋_GBK" w:hAnsi="方正仿宋_GBK" w:eastAsia="方正仿宋_GBK" w:cs="方正仿宋_GBK"/>
        </w:rPr>
      </w:pPr>
    </w:p>
    <w:p>
      <w:pPr>
        <w:spacing w:line="360" w:lineRule="auto"/>
        <w:ind w:right="180" w:firstLine="360"/>
        <w:jc w:val="righ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企业名称：（加盖CA电子公章）</w:t>
      </w:r>
    </w:p>
    <w:p>
      <w:pPr>
        <w:spacing w:line="360" w:lineRule="auto"/>
        <w:ind w:firstLine="576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日  期：</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年___月___日</w:t>
      </w:r>
    </w:p>
    <w:p>
      <w:pPr>
        <w:spacing w:line="560" w:lineRule="exact"/>
        <w:rPr>
          <w:rFonts w:eastAsia="黑体"/>
          <w:b/>
          <w:sz w:val="32"/>
          <w:szCs w:val="32"/>
        </w:rPr>
      </w:pPr>
      <w:r>
        <w:rPr>
          <w:rFonts w:eastAsia="黑体"/>
          <w:b/>
          <w:sz w:val="32"/>
          <w:szCs w:val="32"/>
        </w:rPr>
        <w:br w:type="page"/>
      </w:r>
      <w:r>
        <w:rPr>
          <w:rFonts w:hint="eastAsia" w:eastAsia="黑体"/>
          <w:b/>
          <w:sz w:val="32"/>
          <w:szCs w:val="32"/>
        </w:rPr>
        <w:t>七、技术要求响应及偏离表（分包号：**）</w:t>
      </w:r>
    </w:p>
    <w:tbl>
      <w:tblPr>
        <w:tblStyle w:val="43"/>
        <w:tblW w:w="9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3291"/>
        <w:gridCol w:w="2852"/>
        <w:gridCol w:w="1308"/>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5"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序号</w:t>
            </w:r>
          </w:p>
        </w:tc>
        <w:tc>
          <w:tcPr>
            <w:tcW w:w="3291" w:type="dxa"/>
            <w:vAlign w:val="center"/>
          </w:tcPr>
          <w:p>
            <w:pPr>
              <w:pStyle w:val="38"/>
              <w:spacing w:before="0" w:beforeAutospacing="0" w:after="0" w:afterAutospacing="0"/>
              <w:jc w:val="center"/>
              <w:rPr>
                <w:rFonts w:ascii="方正仿宋_GBK" w:hAnsi="方正仿宋_GBK" w:eastAsia="方正仿宋_GBK" w:cs="方正仿宋_GBK"/>
              </w:rPr>
            </w:pPr>
            <w:r>
              <w:rPr>
                <w:rFonts w:hint="eastAsia" w:ascii="方正仿宋_GBK" w:hAnsi="方正仿宋_GBK" w:eastAsia="方正仿宋_GBK" w:cs="方正仿宋_GBK"/>
              </w:rPr>
              <w:t>技术要求和商务要求中的实质性要求（</w:t>
            </w:r>
            <w:r>
              <w:rPr>
                <w:rFonts w:hint="eastAsia" w:ascii="方正仿宋_GBK" w:hAnsi="方正仿宋_GBK" w:eastAsia="方正仿宋_GBK" w:cs="方正仿宋_GBK"/>
                <w:i/>
                <w:iCs/>
                <w:u w:val="single"/>
              </w:rPr>
              <w:t>加斜体下划线内容或</w:t>
            </w:r>
            <w:r>
              <w:rPr>
                <w:rFonts w:hint="eastAsia" w:ascii="方正仿宋_GBK" w:hAnsi="方正仿宋_GBK" w:eastAsia="方正仿宋_GBK" w:cs="方正仿宋_GBK"/>
              </w:rPr>
              <w:t>打“★”内容）</w:t>
            </w:r>
          </w:p>
        </w:tc>
        <w:tc>
          <w:tcPr>
            <w:tcW w:w="2852" w:type="dxa"/>
            <w:vAlign w:val="center"/>
          </w:tcPr>
          <w:p>
            <w:pPr>
              <w:pStyle w:val="38"/>
              <w:spacing w:before="0" w:beforeAutospacing="0" w:after="0" w:afterAutospacing="0"/>
              <w:jc w:val="center"/>
              <w:rPr>
                <w:rFonts w:ascii="方正仿宋_GBK" w:hAnsi="方正仿宋_GBK" w:eastAsia="方正仿宋_GBK" w:cs="方正仿宋_GBK"/>
              </w:rPr>
            </w:pPr>
            <w:r>
              <w:rPr>
                <w:rFonts w:hint="eastAsia" w:ascii="方正仿宋_GBK" w:hAnsi="方正仿宋_GBK" w:eastAsia="方正仿宋_GBK" w:cs="方正仿宋_GBK"/>
              </w:rPr>
              <w:t>响应情况（填报“响应或完全响应”）</w:t>
            </w:r>
          </w:p>
        </w:tc>
        <w:tc>
          <w:tcPr>
            <w:tcW w:w="1308" w:type="dxa"/>
            <w:vAlign w:val="center"/>
          </w:tcPr>
          <w:p>
            <w:pPr>
              <w:pStyle w:val="38"/>
              <w:spacing w:before="0" w:beforeAutospacing="0" w:after="0" w:afterAutospacing="0"/>
              <w:jc w:val="center"/>
              <w:rPr>
                <w:rFonts w:ascii="方正仿宋_GBK" w:hAnsi="方正仿宋_GBK" w:eastAsia="方正仿宋_GBK" w:cs="方正仿宋_GBK"/>
              </w:rPr>
            </w:pPr>
            <w:r>
              <w:rPr>
                <w:rFonts w:hint="eastAsia" w:ascii="方正仿宋_GBK" w:hAnsi="方正仿宋_GBK" w:eastAsia="方正仿宋_GBK" w:cs="方正仿宋_GBK"/>
              </w:rPr>
              <w:t>偏离（填报“正偏离、符合或负偏离”）</w:t>
            </w:r>
          </w:p>
        </w:tc>
        <w:tc>
          <w:tcPr>
            <w:tcW w:w="1173"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证明</w:t>
            </w:r>
          </w:p>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45" w:type="dxa"/>
          </w:tcPr>
          <w:p>
            <w:pPr>
              <w:jc w:val="center"/>
              <w:rPr>
                <w:rFonts w:ascii="方正仿宋_GBK" w:hAnsi="方正仿宋_GBK" w:eastAsia="方正仿宋_GBK" w:cs="方正仿宋_GBK"/>
                <w:sz w:val="24"/>
                <w:szCs w:val="24"/>
              </w:rPr>
            </w:pPr>
          </w:p>
        </w:tc>
        <w:tc>
          <w:tcPr>
            <w:tcW w:w="3291" w:type="dxa"/>
          </w:tcPr>
          <w:p>
            <w:pPr>
              <w:jc w:val="center"/>
              <w:rPr>
                <w:rFonts w:ascii="方正仿宋_GBK" w:hAnsi="方正仿宋_GBK" w:eastAsia="方正仿宋_GBK" w:cs="方正仿宋_GBK"/>
                <w:sz w:val="24"/>
                <w:szCs w:val="24"/>
              </w:rPr>
            </w:pPr>
          </w:p>
        </w:tc>
        <w:tc>
          <w:tcPr>
            <w:tcW w:w="2852" w:type="dxa"/>
          </w:tcPr>
          <w:p>
            <w:pPr>
              <w:jc w:val="center"/>
              <w:rPr>
                <w:rFonts w:ascii="方正仿宋_GBK" w:hAnsi="方正仿宋_GBK" w:eastAsia="方正仿宋_GBK" w:cs="方正仿宋_GBK"/>
                <w:sz w:val="24"/>
                <w:szCs w:val="24"/>
              </w:rPr>
            </w:pPr>
          </w:p>
        </w:tc>
        <w:tc>
          <w:tcPr>
            <w:tcW w:w="1308" w:type="dxa"/>
          </w:tcPr>
          <w:p>
            <w:pPr>
              <w:jc w:val="center"/>
              <w:rPr>
                <w:rFonts w:ascii="方正仿宋_GBK" w:hAnsi="方正仿宋_GBK" w:eastAsia="方正仿宋_GBK" w:cs="方正仿宋_GBK"/>
                <w:sz w:val="24"/>
                <w:szCs w:val="24"/>
              </w:rPr>
            </w:pPr>
          </w:p>
        </w:tc>
        <w:tc>
          <w:tcPr>
            <w:tcW w:w="1173" w:type="dxa"/>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45" w:type="dxa"/>
          </w:tcPr>
          <w:p>
            <w:pPr>
              <w:jc w:val="center"/>
              <w:rPr>
                <w:rFonts w:ascii="方正仿宋_GBK" w:hAnsi="方正仿宋_GBK" w:eastAsia="方正仿宋_GBK" w:cs="方正仿宋_GBK"/>
                <w:sz w:val="24"/>
                <w:szCs w:val="24"/>
              </w:rPr>
            </w:pPr>
          </w:p>
        </w:tc>
        <w:tc>
          <w:tcPr>
            <w:tcW w:w="3291" w:type="dxa"/>
          </w:tcPr>
          <w:p>
            <w:pPr>
              <w:jc w:val="center"/>
              <w:rPr>
                <w:rFonts w:ascii="方正仿宋_GBK" w:hAnsi="方正仿宋_GBK" w:eastAsia="方正仿宋_GBK" w:cs="方正仿宋_GBK"/>
                <w:sz w:val="24"/>
                <w:szCs w:val="24"/>
              </w:rPr>
            </w:pPr>
          </w:p>
        </w:tc>
        <w:tc>
          <w:tcPr>
            <w:tcW w:w="2852" w:type="dxa"/>
          </w:tcPr>
          <w:p>
            <w:pPr>
              <w:jc w:val="center"/>
              <w:rPr>
                <w:rFonts w:ascii="方正仿宋_GBK" w:hAnsi="方正仿宋_GBK" w:eastAsia="方正仿宋_GBK" w:cs="方正仿宋_GBK"/>
                <w:sz w:val="24"/>
                <w:szCs w:val="24"/>
              </w:rPr>
            </w:pPr>
          </w:p>
        </w:tc>
        <w:tc>
          <w:tcPr>
            <w:tcW w:w="1308" w:type="dxa"/>
          </w:tcPr>
          <w:p>
            <w:pPr>
              <w:jc w:val="center"/>
              <w:rPr>
                <w:rFonts w:ascii="方正仿宋_GBK" w:hAnsi="方正仿宋_GBK" w:eastAsia="方正仿宋_GBK" w:cs="方正仿宋_GBK"/>
                <w:sz w:val="24"/>
                <w:szCs w:val="24"/>
              </w:rPr>
            </w:pPr>
          </w:p>
        </w:tc>
        <w:tc>
          <w:tcPr>
            <w:tcW w:w="1173" w:type="dxa"/>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45" w:type="dxa"/>
          </w:tcPr>
          <w:p>
            <w:pPr>
              <w:jc w:val="center"/>
              <w:rPr>
                <w:rFonts w:ascii="方正仿宋_GBK" w:hAnsi="方正仿宋_GBK" w:eastAsia="方正仿宋_GBK" w:cs="方正仿宋_GBK"/>
                <w:sz w:val="24"/>
                <w:szCs w:val="24"/>
              </w:rPr>
            </w:pPr>
          </w:p>
        </w:tc>
        <w:tc>
          <w:tcPr>
            <w:tcW w:w="3291" w:type="dxa"/>
          </w:tcPr>
          <w:p>
            <w:pPr>
              <w:jc w:val="center"/>
              <w:rPr>
                <w:rFonts w:ascii="方正仿宋_GBK" w:hAnsi="方正仿宋_GBK" w:eastAsia="方正仿宋_GBK" w:cs="方正仿宋_GBK"/>
                <w:sz w:val="24"/>
                <w:szCs w:val="24"/>
              </w:rPr>
            </w:pPr>
          </w:p>
        </w:tc>
        <w:tc>
          <w:tcPr>
            <w:tcW w:w="2852" w:type="dxa"/>
          </w:tcPr>
          <w:p>
            <w:pPr>
              <w:jc w:val="center"/>
              <w:rPr>
                <w:rFonts w:ascii="方正仿宋_GBK" w:hAnsi="方正仿宋_GBK" w:eastAsia="方正仿宋_GBK" w:cs="方正仿宋_GBK"/>
                <w:sz w:val="24"/>
                <w:szCs w:val="24"/>
              </w:rPr>
            </w:pPr>
          </w:p>
        </w:tc>
        <w:tc>
          <w:tcPr>
            <w:tcW w:w="1308" w:type="dxa"/>
          </w:tcPr>
          <w:p>
            <w:pPr>
              <w:jc w:val="center"/>
              <w:rPr>
                <w:rFonts w:ascii="方正仿宋_GBK" w:hAnsi="方正仿宋_GBK" w:eastAsia="方正仿宋_GBK" w:cs="方正仿宋_GBK"/>
                <w:sz w:val="24"/>
                <w:szCs w:val="24"/>
              </w:rPr>
            </w:pPr>
          </w:p>
        </w:tc>
        <w:tc>
          <w:tcPr>
            <w:tcW w:w="1173" w:type="dxa"/>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45" w:type="dxa"/>
          </w:tcPr>
          <w:p>
            <w:pPr>
              <w:jc w:val="center"/>
              <w:rPr>
                <w:rFonts w:ascii="方正仿宋_GBK" w:hAnsi="方正仿宋_GBK" w:eastAsia="方正仿宋_GBK" w:cs="方正仿宋_GBK"/>
                <w:sz w:val="24"/>
                <w:szCs w:val="24"/>
              </w:rPr>
            </w:pPr>
          </w:p>
        </w:tc>
        <w:tc>
          <w:tcPr>
            <w:tcW w:w="3291" w:type="dxa"/>
          </w:tcPr>
          <w:p>
            <w:pPr>
              <w:jc w:val="center"/>
              <w:rPr>
                <w:rFonts w:ascii="方正仿宋_GBK" w:hAnsi="方正仿宋_GBK" w:eastAsia="方正仿宋_GBK" w:cs="方正仿宋_GBK"/>
                <w:sz w:val="24"/>
                <w:szCs w:val="24"/>
              </w:rPr>
            </w:pPr>
          </w:p>
        </w:tc>
        <w:tc>
          <w:tcPr>
            <w:tcW w:w="2852" w:type="dxa"/>
          </w:tcPr>
          <w:p>
            <w:pPr>
              <w:jc w:val="center"/>
              <w:rPr>
                <w:rFonts w:ascii="方正仿宋_GBK" w:hAnsi="方正仿宋_GBK" w:eastAsia="方正仿宋_GBK" w:cs="方正仿宋_GBK"/>
                <w:sz w:val="24"/>
                <w:szCs w:val="24"/>
              </w:rPr>
            </w:pPr>
          </w:p>
        </w:tc>
        <w:tc>
          <w:tcPr>
            <w:tcW w:w="1308" w:type="dxa"/>
          </w:tcPr>
          <w:p>
            <w:pPr>
              <w:jc w:val="center"/>
              <w:rPr>
                <w:rFonts w:ascii="方正仿宋_GBK" w:hAnsi="方正仿宋_GBK" w:eastAsia="方正仿宋_GBK" w:cs="方正仿宋_GBK"/>
                <w:sz w:val="24"/>
                <w:szCs w:val="24"/>
              </w:rPr>
            </w:pPr>
          </w:p>
        </w:tc>
        <w:tc>
          <w:tcPr>
            <w:tcW w:w="1173" w:type="dxa"/>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45" w:type="dxa"/>
          </w:tcPr>
          <w:p>
            <w:pPr>
              <w:jc w:val="center"/>
              <w:rPr>
                <w:rFonts w:ascii="方正仿宋_GBK" w:hAnsi="方正仿宋_GBK" w:eastAsia="方正仿宋_GBK" w:cs="方正仿宋_GBK"/>
                <w:sz w:val="24"/>
                <w:szCs w:val="24"/>
              </w:rPr>
            </w:pPr>
          </w:p>
        </w:tc>
        <w:tc>
          <w:tcPr>
            <w:tcW w:w="3291" w:type="dxa"/>
          </w:tcPr>
          <w:p>
            <w:pPr>
              <w:jc w:val="center"/>
              <w:rPr>
                <w:rFonts w:ascii="方正仿宋_GBK" w:hAnsi="方正仿宋_GBK" w:eastAsia="方正仿宋_GBK" w:cs="方正仿宋_GBK"/>
                <w:sz w:val="24"/>
                <w:szCs w:val="24"/>
              </w:rPr>
            </w:pPr>
          </w:p>
        </w:tc>
        <w:tc>
          <w:tcPr>
            <w:tcW w:w="2852" w:type="dxa"/>
          </w:tcPr>
          <w:p>
            <w:pPr>
              <w:jc w:val="center"/>
              <w:rPr>
                <w:rFonts w:ascii="方正仿宋_GBK" w:hAnsi="方正仿宋_GBK" w:eastAsia="方正仿宋_GBK" w:cs="方正仿宋_GBK"/>
                <w:sz w:val="24"/>
                <w:szCs w:val="24"/>
              </w:rPr>
            </w:pPr>
          </w:p>
        </w:tc>
        <w:tc>
          <w:tcPr>
            <w:tcW w:w="1308" w:type="dxa"/>
          </w:tcPr>
          <w:p>
            <w:pPr>
              <w:jc w:val="center"/>
              <w:rPr>
                <w:rFonts w:ascii="方正仿宋_GBK" w:hAnsi="方正仿宋_GBK" w:eastAsia="方正仿宋_GBK" w:cs="方正仿宋_GBK"/>
                <w:sz w:val="24"/>
                <w:szCs w:val="24"/>
              </w:rPr>
            </w:pPr>
          </w:p>
        </w:tc>
        <w:tc>
          <w:tcPr>
            <w:tcW w:w="1173" w:type="dxa"/>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45" w:type="dxa"/>
          </w:tcPr>
          <w:p>
            <w:pPr>
              <w:jc w:val="center"/>
              <w:rPr>
                <w:rFonts w:ascii="方正仿宋_GBK" w:hAnsi="方正仿宋_GBK" w:eastAsia="方正仿宋_GBK" w:cs="方正仿宋_GBK"/>
                <w:sz w:val="24"/>
                <w:szCs w:val="24"/>
              </w:rPr>
            </w:pPr>
          </w:p>
        </w:tc>
        <w:tc>
          <w:tcPr>
            <w:tcW w:w="3291" w:type="dxa"/>
          </w:tcPr>
          <w:p>
            <w:pPr>
              <w:jc w:val="center"/>
              <w:rPr>
                <w:rFonts w:ascii="方正仿宋_GBK" w:hAnsi="方正仿宋_GBK" w:eastAsia="方正仿宋_GBK" w:cs="方正仿宋_GBK"/>
                <w:sz w:val="24"/>
                <w:szCs w:val="24"/>
              </w:rPr>
            </w:pPr>
          </w:p>
        </w:tc>
        <w:tc>
          <w:tcPr>
            <w:tcW w:w="2852" w:type="dxa"/>
          </w:tcPr>
          <w:p>
            <w:pPr>
              <w:jc w:val="center"/>
              <w:rPr>
                <w:rFonts w:ascii="方正仿宋_GBK" w:hAnsi="方正仿宋_GBK" w:eastAsia="方正仿宋_GBK" w:cs="方正仿宋_GBK"/>
                <w:sz w:val="24"/>
                <w:szCs w:val="24"/>
              </w:rPr>
            </w:pPr>
          </w:p>
        </w:tc>
        <w:tc>
          <w:tcPr>
            <w:tcW w:w="1308" w:type="dxa"/>
          </w:tcPr>
          <w:p>
            <w:pPr>
              <w:jc w:val="center"/>
              <w:rPr>
                <w:rFonts w:ascii="方正仿宋_GBK" w:hAnsi="方正仿宋_GBK" w:eastAsia="方正仿宋_GBK" w:cs="方正仿宋_GBK"/>
                <w:sz w:val="24"/>
                <w:szCs w:val="24"/>
              </w:rPr>
            </w:pPr>
          </w:p>
        </w:tc>
        <w:tc>
          <w:tcPr>
            <w:tcW w:w="1173" w:type="dxa"/>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45" w:type="dxa"/>
          </w:tcPr>
          <w:p>
            <w:pPr>
              <w:jc w:val="center"/>
              <w:rPr>
                <w:rFonts w:ascii="方正仿宋_GBK" w:hAnsi="方正仿宋_GBK" w:eastAsia="方正仿宋_GBK" w:cs="方正仿宋_GBK"/>
                <w:sz w:val="24"/>
                <w:szCs w:val="24"/>
              </w:rPr>
            </w:pPr>
          </w:p>
        </w:tc>
        <w:tc>
          <w:tcPr>
            <w:tcW w:w="3291" w:type="dxa"/>
          </w:tcPr>
          <w:p>
            <w:pPr>
              <w:jc w:val="center"/>
              <w:rPr>
                <w:rFonts w:ascii="方正仿宋_GBK" w:hAnsi="方正仿宋_GBK" w:eastAsia="方正仿宋_GBK" w:cs="方正仿宋_GBK"/>
                <w:sz w:val="24"/>
                <w:szCs w:val="24"/>
              </w:rPr>
            </w:pPr>
          </w:p>
        </w:tc>
        <w:tc>
          <w:tcPr>
            <w:tcW w:w="2852" w:type="dxa"/>
          </w:tcPr>
          <w:p>
            <w:pPr>
              <w:jc w:val="center"/>
              <w:rPr>
                <w:rFonts w:ascii="方正仿宋_GBK" w:hAnsi="方正仿宋_GBK" w:eastAsia="方正仿宋_GBK" w:cs="方正仿宋_GBK"/>
                <w:sz w:val="24"/>
                <w:szCs w:val="24"/>
              </w:rPr>
            </w:pPr>
          </w:p>
        </w:tc>
        <w:tc>
          <w:tcPr>
            <w:tcW w:w="1308" w:type="dxa"/>
          </w:tcPr>
          <w:p>
            <w:pPr>
              <w:jc w:val="center"/>
              <w:rPr>
                <w:rFonts w:ascii="方正仿宋_GBK" w:hAnsi="方正仿宋_GBK" w:eastAsia="方正仿宋_GBK" w:cs="方正仿宋_GBK"/>
                <w:sz w:val="24"/>
                <w:szCs w:val="24"/>
              </w:rPr>
            </w:pPr>
          </w:p>
        </w:tc>
        <w:tc>
          <w:tcPr>
            <w:tcW w:w="1173" w:type="dxa"/>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45" w:type="dxa"/>
          </w:tcPr>
          <w:p>
            <w:pPr>
              <w:jc w:val="center"/>
              <w:rPr>
                <w:rFonts w:ascii="方正仿宋_GBK" w:hAnsi="方正仿宋_GBK" w:eastAsia="方正仿宋_GBK" w:cs="方正仿宋_GBK"/>
                <w:sz w:val="24"/>
                <w:szCs w:val="24"/>
              </w:rPr>
            </w:pPr>
          </w:p>
        </w:tc>
        <w:tc>
          <w:tcPr>
            <w:tcW w:w="3291" w:type="dxa"/>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2852" w:type="dxa"/>
          </w:tcPr>
          <w:p>
            <w:pPr>
              <w:jc w:val="center"/>
              <w:rPr>
                <w:rFonts w:ascii="方正仿宋_GBK" w:hAnsi="方正仿宋_GBK" w:eastAsia="方正仿宋_GBK" w:cs="方正仿宋_GBK"/>
                <w:sz w:val="24"/>
                <w:szCs w:val="24"/>
              </w:rPr>
            </w:pPr>
          </w:p>
        </w:tc>
        <w:tc>
          <w:tcPr>
            <w:tcW w:w="1308" w:type="dxa"/>
          </w:tcPr>
          <w:p>
            <w:pPr>
              <w:jc w:val="center"/>
              <w:rPr>
                <w:rFonts w:ascii="方正仿宋_GBK" w:hAnsi="方正仿宋_GBK" w:eastAsia="方正仿宋_GBK" w:cs="方正仿宋_GBK"/>
                <w:sz w:val="24"/>
                <w:szCs w:val="24"/>
              </w:rPr>
            </w:pPr>
          </w:p>
        </w:tc>
        <w:tc>
          <w:tcPr>
            <w:tcW w:w="1173" w:type="dxa"/>
          </w:tcPr>
          <w:p>
            <w:pPr>
              <w:jc w:val="center"/>
              <w:rPr>
                <w:rFonts w:ascii="方正仿宋_GBK" w:hAnsi="方正仿宋_GBK" w:eastAsia="方正仿宋_GBK" w:cs="方正仿宋_GBK"/>
                <w:sz w:val="24"/>
                <w:szCs w:val="24"/>
              </w:rPr>
            </w:pPr>
          </w:p>
        </w:tc>
      </w:tr>
    </w:tbl>
    <w:p>
      <w:pPr>
        <w:spacing w:line="588" w:lineRule="exact"/>
        <w:rPr>
          <w:rFonts w:ascii="方正仿宋_GBK" w:hAnsi="方正仿宋_GBK" w:eastAsia="方正仿宋_GBK" w:cs="方正仿宋_GBK"/>
          <w:sz w:val="24"/>
        </w:rPr>
      </w:pPr>
      <w:r>
        <w:rPr>
          <w:rFonts w:hint="eastAsia" w:ascii="方正仿宋_GBK" w:hAnsi="方正仿宋_GBK" w:eastAsia="方正仿宋_GBK" w:cs="方正仿宋_GBK"/>
          <w:sz w:val="24"/>
        </w:rPr>
        <w:t>1.投标人必须对技术要求和商务要求中的实质性要求（加斜体下划线内容或打“★”内容）做出明确响应，否则作无效响应处理。</w:t>
      </w:r>
    </w:p>
    <w:p>
      <w:pPr>
        <w:spacing w:line="588" w:lineRule="exact"/>
        <w:rPr>
          <w:rFonts w:ascii="方正仿宋_GBK" w:hAnsi="方正仿宋_GBK" w:eastAsia="方正仿宋_GBK" w:cs="方正仿宋_GBK"/>
          <w:sz w:val="24"/>
        </w:rPr>
      </w:pPr>
      <w:r>
        <w:rPr>
          <w:rFonts w:hint="eastAsia" w:ascii="方正仿宋_GBK" w:hAnsi="方正仿宋_GBK" w:eastAsia="方正仿宋_GBK" w:cs="方正仿宋_GBK"/>
          <w:sz w:val="24"/>
        </w:rPr>
        <w:t>2.如果采购文件要求提供证明材料，投标人必须将证明材料列于该表之下。</w:t>
      </w:r>
    </w:p>
    <w:p>
      <w:pPr>
        <w:spacing w:line="588" w:lineRule="exact"/>
        <w:rPr>
          <w:rFonts w:ascii="方正仿宋_GBK" w:hAnsi="方正仿宋_GBK" w:eastAsia="方正仿宋_GBK" w:cs="方正仿宋_GBK"/>
          <w:sz w:val="24"/>
        </w:rPr>
      </w:pPr>
      <w:r>
        <w:rPr>
          <w:rFonts w:hint="eastAsia" w:ascii="方正仿宋_GBK" w:hAnsi="方正仿宋_GBK" w:eastAsia="方正仿宋_GBK" w:cs="方正仿宋_GBK"/>
          <w:sz w:val="24"/>
        </w:rPr>
        <w:t>3.投标人未对实质性要求作出明确响应的，或未按采购文件要求提供证明材料的，该分包作无效响应处理。</w:t>
      </w:r>
    </w:p>
    <w:p>
      <w:pPr>
        <w:spacing w:line="588" w:lineRule="exact"/>
        <w:rPr>
          <w:rFonts w:ascii="方正仿宋_GBK" w:hAnsi="方正仿宋_GBK" w:eastAsia="方正仿宋_GBK" w:cs="方正仿宋_GBK"/>
          <w:sz w:val="24"/>
        </w:rPr>
      </w:pPr>
      <w:r>
        <w:rPr>
          <w:rFonts w:hint="eastAsia" w:ascii="方正仿宋_GBK" w:hAnsi="方正仿宋_GBK" w:eastAsia="方正仿宋_GBK" w:cs="方正仿宋_GBK"/>
          <w:sz w:val="24"/>
        </w:rPr>
        <w:t>4.行数不够，可自行添加。</w:t>
      </w:r>
    </w:p>
    <w:p>
      <w:pPr>
        <w:jc w:val="center"/>
        <w:rPr>
          <w:rFonts w:eastAsia="黑体"/>
          <w:b/>
          <w:sz w:val="36"/>
        </w:rPr>
      </w:pPr>
    </w:p>
    <w:p>
      <w:pPr>
        <w:pStyle w:val="177"/>
        <w:rPr>
          <w:rFonts w:ascii="Times New Roman" w:hAnsi="Times New Roman"/>
        </w:rPr>
      </w:pPr>
    </w:p>
    <w:p>
      <w:pPr>
        <w:pStyle w:val="177"/>
        <w:rPr>
          <w:rFonts w:ascii="Times New Roman" w:hAnsi="Times New Roman"/>
        </w:rPr>
      </w:pPr>
    </w:p>
    <w:p>
      <w:pPr>
        <w:pStyle w:val="177"/>
        <w:rPr>
          <w:rFonts w:ascii="Times New Roman" w:hAnsi="Times New Roman"/>
        </w:rPr>
      </w:pPr>
    </w:p>
    <w:p>
      <w:pPr>
        <w:pStyle w:val="197"/>
        <w:outlineLvl w:val="1"/>
      </w:pPr>
      <w:bookmarkStart w:id="169" w:name="_Toc25095"/>
      <w:r>
        <w:rPr>
          <w:rFonts w:hint="eastAsia"/>
        </w:rPr>
        <w:t>八</w:t>
      </w:r>
      <w:r>
        <w:t>、主要部件、辅材明细表</w:t>
      </w:r>
      <w:bookmarkEnd w:id="169"/>
    </w:p>
    <w:p>
      <w:pPr>
        <w:pStyle w:val="77"/>
        <w:jc w:val="center"/>
        <w:outlineLvl w:val="1"/>
      </w:pPr>
      <w:bookmarkStart w:id="170" w:name="_Toc8810"/>
      <w:r>
        <w:t>拟提供设备、工具及</w:t>
      </w:r>
      <w:r>
        <w:rPr>
          <w:rFonts w:hint="eastAsia"/>
        </w:rPr>
        <w:t>耗材</w:t>
      </w:r>
      <w:bookmarkEnd w:id="170"/>
    </w:p>
    <w:p>
      <w:pPr>
        <w:pStyle w:val="158"/>
        <w:rPr>
          <w:rFonts w:ascii="Calibri" w:hAnsi="Calibri"/>
        </w:rPr>
      </w:pPr>
    </w:p>
    <w:tbl>
      <w:tblPr>
        <w:tblStyle w:val="43"/>
        <w:tblpPr w:leftFromText="180" w:rightFromText="180" w:vertAnchor="text" w:horzAnchor="margin" w:tblpY="323"/>
        <w:tblW w:w="8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7"/>
        <w:gridCol w:w="1512"/>
        <w:gridCol w:w="1875"/>
        <w:gridCol w:w="1675"/>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2117"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主要设备、工具及耗材</w:t>
            </w:r>
          </w:p>
        </w:tc>
        <w:tc>
          <w:tcPr>
            <w:tcW w:w="1512"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品牌</w:t>
            </w:r>
          </w:p>
        </w:tc>
        <w:tc>
          <w:tcPr>
            <w:tcW w:w="1875"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规格型号</w:t>
            </w:r>
          </w:p>
        </w:tc>
        <w:tc>
          <w:tcPr>
            <w:tcW w:w="1675"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数量</w:t>
            </w:r>
          </w:p>
        </w:tc>
        <w:tc>
          <w:tcPr>
            <w:tcW w:w="1758"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117"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洗地机</w:t>
            </w:r>
          </w:p>
        </w:tc>
        <w:tc>
          <w:tcPr>
            <w:tcW w:w="1512"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875"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675"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r>
              <w:rPr>
                <w:rFonts w:hint="eastAsia" w:ascii="方正仿宋_GBK" w:hAnsi="方正仿宋_GBK" w:eastAsia="方正仿宋_GBK" w:cs="方正仿宋_GBK"/>
              </w:rPr>
              <w:t>不少于1台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117"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垃圾车</w:t>
            </w:r>
          </w:p>
        </w:tc>
        <w:tc>
          <w:tcPr>
            <w:tcW w:w="1512"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875"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675"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r>
              <w:rPr>
                <w:rFonts w:hint="eastAsia" w:ascii="方正仿宋_GBK" w:hAnsi="方正仿宋_GBK" w:eastAsia="方正仿宋_GBK" w:cs="方正仿宋_GBK"/>
              </w:rPr>
              <w:t>不少于3台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117"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大小尘推</w:t>
            </w:r>
          </w:p>
        </w:tc>
        <w:tc>
          <w:tcPr>
            <w:tcW w:w="1512"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875"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675"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trPr>
        <w:tc>
          <w:tcPr>
            <w:tcW w:w="2117"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尘推液</w:t>
            </w:r>
          </w:p>
        </w:tc>
        <w:tc>
          <w:tcPr>
            <w:tcW w:w="1512"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875"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675"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117"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大小玻璃刮</w:t>
            </w:r>
          </w:p>
        </w:tc>
        <w:tc>
          <w:tcPr>
            <w:tcW w:w="1512"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875"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675"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117"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保洁手推车</w:t>
            </w:r>
          </w:p>
        </w:tc>
        <w:tc>
          <w:tcPr>
            <w:tcW w:w="1512"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875"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675"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117"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大小抹布</w:t>
            </w:r>
          </w:p>
        </w:tc>
        <w:tc>
          <w:tcPr>
            <w:tcW w:w="1512"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875"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675"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758"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117"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海绵拖把</w:t>
            </w:r>
          </w:p>
        </w:tc>
        <w:tc>
          <w:tcPr>
            <w:tcW w:w="1512"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875"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675" w:type="dxa"/>
            <w:tcBorders>
              <w:top w:val="single" w:color="auto" w:sz="4" w:space="0"/>
              <w:left w:val="single" w:color="auto" w:sz="4" w:space="0"/>
              <w:bottom w:val="single" w:color="auto" w:sz="4" w:space="0"/>
              <w:right w:val="single" w:color="auto" w:sz="4" w:space="0"/>
            </w:tcBorders>
            <w:vAlign w:val="center"/>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758"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117"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条把</w:t>
            </w:r>
          </w:p>
        </w:tc>
        <w:tc>
          <w:tcPr>
            <w:tcW w:w="1512"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c>
          <w:tcPr>
            <w:tcW w:w="1875"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c>
          <w:tcPr>
            <w:tcW w:w="1675"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c>
          <w:tcPr>
            <w:tcW w:w="1758"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117"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扫帚</w:t>
            </w:r>
          </w:p>
        </w:tc>
        <w:tc>
          <w:tcPr>
            <w:tcW w:w="1512"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c>
          <w:tcPr>
            <w:tcW w:w="1875"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c>
          <w:tcPr>
            <w:tcW w:w="1675"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c>
          <w:tcPr>
            <w:tcW w:w="1758"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117"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p>
        </w:tc>
        <w:tc>
          <w:tcPr>
            <w:tcW w:w="1512"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c>
          <w:tcPr>
            <w:tcW w:w="1875"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c>
          <w:tcPr>
            <w:tcW w:w="1675"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c>
          <w:tcPr>
            <w:tcW w:w="1758"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117"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jc w:val="center"/>
              <w:rPr>
                <w:rFonts w:ascii="方正仿宋_GBK" w:hAnsi="方正仿宋_GBK" w:eastAsia="方正仿宋_GBK" w:cs="方正仿宋_GBK"/>
                <w:sz w:val="24"/>
                <w:szCs w:val="22"/>
              </w:rPr>
            </w:pPr>
            <w:r>
              <w:rPr>
                <w:rFonts w:hint="eastAsia" w:ascii="方正仿宋_GBK" w:hAnsi="方正仿宋_GBK" w:eastAsia="方正仿宋_GBK" w:cs="方正仿宋_GBK"/>
                <w:sz w:val="24"/>
                <w:szCs w:val="22"/>
              </w:rPr>
              <w:t>...</w:t>
            </w:r>
          </w:p>
        </w:tc>
        <w:tc>
          <w:tcPr>
            <w:tcW w:w="1512"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c>
          <w:tcPr>
            <w:tcW w:w="1875"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c>
          <w:tcPr>
            <w:tcW w:w="1675"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c>
          <w:tcPr>
            <w:tcW w:w="1758" w:type="dxa"/>
            <w:tcBorders>
              <w:top w:val="single" w:color="auto" w:sz="4" w:space="0"/>
              <w:left w:val="single" w:color="auto" w:sz="4" w:space="0"/>
              <w:bottom w:val="single" w:color="auto" w:sz="4" w:space="0"/>
              <w:right w:val="single" w:color="auto" w:sz="4" w:space="0"/>
            </w:tcBorders>
          </w:tcPr>
          <w:p>
            <w:pPr>
              <w:pStyle w:val="176"/>
              <w:widowControl/>
              <w:adjustRightInd w:val="0"/>
              <w:snapToGrid w:val="0"/>
              <w:spacing w:before="100" w:beforeAutospacing="1" w:line="560" w:lineRule="exact"/>
              <w:rPr>
                <w:rFonts w:ascii="方正仿宋_GBK" w:hAnsi="方正仿宋_GBK" w:eastAsia="方正仿宋_GBK" w:cs="方正仿宋_GBK"/>
                <w:sz w:val="24"/>
                <w:szCs w:val="22"/>
              </w:rPr>
            </w:pPr>
          </w:p>
        </w:tc>
      </w:tr>
    </w:tbl>
    <w:p>
      <w:pPr>
        <w:pStyle w:val="176"/>
        <w:widowControl/>
        <w:adjustRightInd w:val="0"/>
        <w:snapToGrid w:val="0"/>
        <w:spacing w:before="100" w:beforeAutospacing="1" w:line="480" w:lineRule="exact"/>
        <w:ind w:left="-288" w:leftChars="-137" w:firstLine="285" w:firstLineChars="119"/>
        <w:rPr>
          <w:rFonts w:ascii="方正仿宋_GBK" w:hAnsi="方正仿宋_GBK" w:eastAsia="方正仿宋_GBK" w:cs="方正仿宋_GBK"/>
          <w:bCs/>
          <w:sz w:val="24"/>
          <w:szCs w:val="22"/>
        </w:rPr>
      </w:pPr>
      <w:r>
        <w:rPr>
          <w:rFonts w:hint="eastAsia" w:ascii="方正仿宋_GBK" w:hAnsi="方正仿宋_GBK" w:eastAsia="方正仿宋_GBK" w:cs="方正仿宋_GBK"/>
          <w:bCs/>
          <w:sz w:val="24"/>
        </w:rPr>
        <w:t>注：投标人应将拟提供设备、工具及耗材的品牌和规格型号等在表中空白处填列。</w:t>
      </w:r>
    </w:p>
    <w:p>
      <w:pPr>
        <w:pStyle w:val="176"/>
        <w:spacing w:line="560" w:lineRule="exact"/>
        <w:ind w:right="105" w:rightChars="50" w:firstLine="313" w:firstLineChars="98"/>
        <w:rPr>
          <w:rFonts w:ascii="方正仿宋_GBK" w:hAnsi="方正仿宋_GBK" w:eastAsia="方正仿宋_GBK" w:cs="方正仿宋_GBK"/>
          <w:sz w:val="32"/>
          <w:szCs w:val="32"/>
        </w:rPr>
      </w:pPr>
    </w:p>
    <w:p>
      <w:pPr>
        <w:pStyle w:val="158"/>
        <w:jc w:val="right"/>
        <w:rPr>
          <w:rFonts w:ascii="方正仿宋_GBK" w:hAnsi="方正仿宋_GBK" w:eastAsia="方正仿宋_GBK" w:cs="方正仿宋_GBK"/>
        </w:rPr>
      </w:pPr>
      <w:r>
        <w:rPr>
          <w:rFonts w:hint="eastAsia" w:ascii="方正仿宋_GBK" w:hAnsi="方正仿宋_GBK" w:eastAsia="方正仿宋_GBK" w:cs="方正仿宋_GBK"/>
          <w:sz w:val="24"/>
        </w:rPr>
        <w:t>单位名称：</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 xml:space="preserve">（电子签章）  </w:t>
      </w:r>
    </w:p>
    <w:p>
      <w:pPr>
        <w:pStyle w:val="81"/>
        <w:spacing w:line="500" w:lineRule="exact"/>
        <w:outlineLvl w:val="1"/>
        <w:rPr>
          <w:rFonts w:ascii="宋体" w:hAnsi="宋体" w:cs="宋体"/>
        </w:rPr>
      </w:pPr>
      <w:r>
        <w:rPr>
          <w:rFonts w:hint="eastAsia" w:ascii="方正仿宋_GBK" w:hAnsi="方正仿宋_GBK" w:eastAsia="方正仿宋_GBK" w:cs="方正仿宋_GBK"/>
        </w:rPr>
        <w:br w:type="page"/>
      </w:r>
      <w:bookmarkStart w:id="171" w:name="_Toc17341"/>
      <w:r>
        <w:rPr>
          <w:rFonts w:hint="eastAsia" w:ascii="宋体" w:hAnsi="宋体" w:cs="宋体"/>
          <w:b/>
          <w:sz w:val="32"/>
        </w:rPr>
        <w:t>九、企业业绩</w:t>
      </w:r>
    </w:p>
    <w:p>
      <w:pPr>
        <w:pStyle w:val="170"/>
        <w:jc w:val="center"/>
        <w:rPr>
          <w:rFonts w:ascii="宋体" w:hAnsi="宋体" w:cs="宋体"/>
          <w:b/>
          <w:sz w:val="32"/>
          <w:szCs w:val="32"/>
        </w:rPr>
      </w:pPr>
      <w:r>
        <w:rPr>
          <w:rFonts w:hint="eastAsia" w:ascii="宋体" w:hAnsi="宋体" w:cs="宋体"/>
          <w:b/>
          <w:sz w:val="32"/>
          <w:szCs w:val="32"/>
        </w:rPr>
        <w:t>投标人承担类似项目业绩一览表</w:t>
      </w:r>
    </w:p>
    <w:tbl>
      <w:tblPr>
        <w:tblStyle w:val="43"/>
        <w:tblW w:w="8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9"/>
        <w:gridCol w:w="3827"/>
        <w:gridCol w:w="2433"/>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3" w:hRule="atLeast"/>
          <w:jc w:val="center"/>
        </w:trPr>
        <w:tc>
          <w:tcPr>
            <w:tcW w:w="1229" w:type="dxa"/>
          </w:tcPr>
          <w:p>
            <w:pPr>
              <w:pStyle w:val="175"/>
              <w:spacing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序号</w:t>
            </w:r>
          </w:p>
        </w:tc>
        <w:tc>
          <w:tcPr>
            <w:tcW w:w="3827" w:type="dxa"/>
            <w:vAlign w:val="center"/>
          </w:tcPr>
          <w:p>
            <w:pPr>
              <w:pStyle w:val="175"/>
              <w:spacing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项目名称</w:t>
            </w:r>
          </w:p>
        </w:tc>
        <w:tc>
          <w:tcPr>
            <w:tcW w:w="2433" w:type="dxa"/>
            <w:vAlign w:val="center"/>
          </w:tcPr>
          <w:p>
            <w:pPr>
              <w:pStyle w:val="175"/>
              <w:spacing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采购单位</w:t>
            </w:r>
          </w:p>
        </w:tc>
        <w:tc>
          <w:tcPr>
            <w:tcW w:w="1395" w:type="dxa"/>
            <w:vAlign w:val="center"/>
          </w:tcPr>
          <w:p>
            <w:pPr>
              <w:pStyle w:val="175"/>
              <w:spacing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合同金额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0" w:hRule="atLeast"/>
          <w:jc w:val="center"/>
        </w:trPr>
        <w:tc>
          <w:tcPr>
            <w:tcW w:w="1229" w:type="dxa"/>
          </w:tcPr>
          <w:p>
            <w:pPr>
              <w:pStyle w:val="175"/>
              <w:spacing w:line="560" w:lineRule="exact"/>
              <w:jc w:val="center"/>
              <w:rPr>
                <w:rFonts w:ascii="方正仿宋_GBK" w:hAnsi="方正仿宋_GBK" w:eastAsia="方正仿宋_GBK" w:cs="方正仿宋_GBK"/>
                <w:sz w:val="28"/>
              </w:rPr>
            </w:pPr>
          </w:p>
        </w:tc>
        <w:tc>
          <w:tcPr>
            <w:tcW w:w="3827" w:type="dxa"/>
            <w:vAlign w:val="center"/>
          </w:tcPr>
          <w:p>
            <w:pPr>
              <w:pStyle w:val="175"/>
              <w:spacing w:line="560" w:lineRule="exact"/>
              <w:jc w:val="center"/>
              <w:rPr>
                <w:rFonts w:ascii="方正仿宋_GBK" w:hAnsi="方正仿宋_GBK" w:eastAsia="方正仿宋_GBK" w:cs="方正仿宋_GBK"/>
                <w:sz w:val="28"/>
              </w:rPr>
            </w:pPr>
          </w:p>
        </w:tc>
        <w:tc>
          <w:tcPr>
            <w:tcW w:w="2433" w:type="dxa"/>
            <w:vAlign w:val="center"/>
          </w:tcPr>
          <w:p>
            <w:pPr>
              <w:pStyle w:val="175"/>
              <w:spacing w:line="560" w:lineRule="exact"/>
              <w:jc w:val="center"/>
              <w:rPr>
                <w:rFonts w:ascii="方正仿宋_GBK" w:hAnsi="方正仿宋_GBK" w:eastAsia="方正仿宋_GBK" w:cs="方正仿宋_GBK"/>
                <w:sz w:val="28"/>
              </w:rPr>
            </w:pPr>
          </w:p>
        </w:tc>
        <w:tc>
          <w:tcPr>
            <w:tcW w:w="1395" w:type="dxa"/>
            <w:vAlign w:val="center"/>
          </w:tcPr>
          <w:p>
            <w:pPr>
              <w:pStyle w:val="175"/>
              <w:spacing w:line="560" w:lineRule="exact"/>
              <w:jc w:val="center"/>
              <w:rPr>
                <w:rFonts w:ascii="方正仿宋_GBK" w:hAnsi="方正仿宋_GBK" w:eastAsia="方正仿宋_GBK" w:cs="方正仿宋_GBK"/>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0" w:hRule="atLeast"/>
          <w:jc w:val="center"/>
        </w:trPr>
        <w:tc>
          <w:tcPr>
            <w:tcW w:w="1229" w:type="dxa"/>
          </w:tcPr>
          <w:p>
            <w:pPr>
              <w:pStyle w:val="175"/>
              <w:spacing w:line="560" w:lineRule="exact"/>
              <w:jc w:val="center"/>
              <w:rPr>
                <w:rFonts w:ascii="方正仿宋_GBK" w:hAnsi="方正仿宋_GBK" w:eastAsia="方正仿宋_GBK" w:cs="方正仿宋_GBK"/>
                <w:sz w:val="28"/>
              </w:rPr>
            </w:pPr>
          </w:p>
        </w:tc>
        <w:tc>
          <w:tcPr>
            <w:tcW w:w="3827" w:type="dxa"/>
            <w:vAlign w:val="center"/>
          </w:tcPr>
          <w:p>
            <w:pPr>
              <w:pStyle w:val="175"/>
              <w:spacing w:line="560" w:lineRule="exact"/>
              <w:jc w:val="center"/>
              <w:rPr>
                <w:rFonts w:ascii="方正仿宋_GBK" w:hAnsi="方正仿宋_GBK" w:eastAsia="方正仿宋_GBK" w:cs="方正仿宋_GBK"/>
                <w:sz w:val="28"/>
              </w:rPr>
            </w:pPr>
          </w:p>
        </w:tc>
        <w:tc>
          <w:tcPr>
            <w:tcW w:w="2433" w:type="dxa"/>
            <w:vAlign w:val="center"/>
          </w:tcPr>
          <w:p>
            <w:pPr>
              <w:pStyle w:val="175"/>
              <w:spacing w:line="560" w:lineRule="exact"/>
              <w:jc w:val="center"/>
              <w:rPr>
                <w:rFonts w:ascii="方正仿宋_GBK" w:hAnsi="方正仿宋_GBK" w:eastAsia="方正仿宋_GBK" w:cs="方正仿宋_GBK"/>
                <w:sz w:val="28"/>
              </w:rPr>
            </w:pPr>
          </w:p>
        </w:tc>
        <w:tc>
          <w:tcPr>
            <w:tcW w:w="1395" w:type="dxa"/>
            <w:vAlign w:val="center"/>
          </w:tcPr>
          <w:p>
            <w:pPr>
              <w:pStyle w:val="175"/>
              <w:spacing w:line="560" w:lineRule="exact"/>
              <w:jc w:val="center"/>
              <w:rPr>
                <w:rFonts w:ascii="方正仿宋_GBK" w:hAnsi="方正仿宋_GBK" w:eastAsia="方正仿宋_GBK" w:cs="方正仿宋_GBK"/>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0" w:hRule="atLeast"/>
          <w:jc w:val="center"/>
        </w:trPr>
        <w:tc>
          <w:tcPr>
            <w:tcW w:w="1229" w:type="dxa"/>
          </w:tcPr>
          <w:p>
            <w:pPr>
              <w:pStyle w:val="175"/>
              <w:spacing w:line="560" w:lineRule="exact"/>
              <w:jc w:val="center"/>
              <w:rPr>
                <w:rFonts w:ascii="方正仿宋_GBK" w:hAnsi="方正仿宋_GBK" w:eastAsia="方正仿宋_GBK" w:cs="方正仿宋_GBK"/>
                <w:sz w:val="28"/>
              </w:rPr>
            </w:pPr>
          </w:p>
        </w:tc>
        <w:tc>
          <w:tcPr>
            <w:tcW w:w="3827" w:type="dxa"/>
            <w:vAlign w:val="center"/>
          </w:tcPr>
          <w:p>
            <w:pPr>
              <w:pStyle w:val="175"/>
              <w:spacing w:line="560" w:lineRule="exact"/>
              <w:jc w:val="center"/>
              <w:rPr>
                <w:rFonts w:ascii="方正仿宋_GBK" w:hAnsi="方正仿宋_GBK" w:eastAsia="方正仿宋_GBK" w:cs="方正仿宋_GBK"/>
                <w:sz w:val="28"/>
              </w:rPr>
            </w:pPr>
          </w:p>
        </w:tc>
        <w:tc>
          <w:tcPr>
            <w:tcW w:w="2433" w:type="dxa"/>
            <w:vAlign w:val="center"/>
          </w:tcPr>
          <w:p>
            <w:pPr>
              <w:pStyle w:val="175"/>
              <w:spacing w:line="560" w:lineRule="exact"/>
              <w:jc w:val="center"/>
              <w:rPr>
                <w:rFonts w:ascii="方正仿宋_GBK" w:hAnsi="方正仿宋_GBK" w:eastAsia="方正仿宋_GBK" w:cs="方正仿宋_GBK"/>
                <w:sz w:val="28"/>
              </w:rPr>
            </w:pPr>
          </w:p>
        </w:tc>
        <w:tc>
          <w:tcPr>
            <w:tcW w:w="1395" w:type="dxa"/>
            <w:vAlign w:val="center"/>
          </w:tcPr>
          <w:p>
            <w:pPr>
              <w:pStyle w:val="175"/>
              <w:spacing w:line="560" w:lineRule="exact"/>
              <w:jc w:val="center"/>
              <w:rPr>
                <w:rFonts w:ascii="方正仿宋_GBK" w:hAnsi="方正仿宋_GBK" w:eastAsia="方正仿宋_GBK" w:cs="方正仿宋_GBK"/>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5" w:hRule="atLeast"/>
          <w:jc w:val="center"/>
        </w:trPr>
        <w:tc>
          <w:tcPr>
            <w:tcW w:w="1229" w:type="dxa"/>
          </w:tcPr>
          <w:p>
            <w:pPr>
              <w:pStyle w:val="175"/>
              <w:spacing w:line="560" w:lineRule="exact"/>
              <w:jc w:val="center"/>
              <w:rPr>
                <w:rFonts w:ascii="方正仿宋_GBK" w:hAnsi="方正仿宋_GBK" w:eastAsia="方正仿宋_GBK" w:cs="方正仿宋_GBK"/>
                <w:sz w:val="28"/>
              </w:rPr>
            </w:pPr>
          </w:p>
        </w:tc>
        <w:tc>
          <w:tcPr>
            <w:tcW w:w="3827" w:type="dxa"/>
            <w:vAlign w:val="center"/>
          </w:tcPr>
          <w:p>
            <w:pPr>
              <w:pStyle w:val="175"/>
              <w:spacing w:line="560" w:lineRule="exact"/>
              <w:jc w:val="center"/>
              <w:rPr>
                <w:rFonts w:ascii="方正仿宋_GBK" w:hAnsi="方正仿宋_GBK" w:eastAsia="方正仿宋_GBK" w:cs="方正仿宋_GBK"/>
                <w:sz w:val="28"/>
              </w:rPr>
            </w:pPr>
          </w:p>
        </w:tc>
        <w:tc>
          <w:tcPr>
            <w:tcW w:w="2433" w:type="dxa"/>
            <w:vAlign w:val="center"/>
          </w:tcPr>
          <w:p>
            <w:pPr>
              <w:pStyle w:val="175"/>
              <w:spacing w:line="560" w:lineRule="exact"/>
              <w:jc w:val="center"/>
              <w:rPr>
                <w:rFonts w:ascii="方正仿宋_GBK" w:hAnsi="方正仿宋_GBK" w:eastAsia="方正仿宋_GBK" w:cs="方正仿宋_GBK"/>
                <w:sz w:val="28"/>
              </w:rPr>
            </w:pPr>
          </w:p>
        </w:tc>
        <w:tc>
          <w:tcPr>
            <w:tcW w:w="1395" w:type="dxa"/>
            <w:vAlign w:val="center"/>
          </w:tcPr>
          <w:p>
            <w:pPr>
              <w:pStyle w:val="175"/>
              <w:spacing w:line="560" w:lineRule="exact"/>
              <w:jc w:val="center"/>
              <w:rPr>
                <w:rFonts w:ascii="方正仿宋_GBK" w:hAnsi="方正仿宋_GBK" w:eastAsia="方正仿宋_GBK" w:cs="方正仿宋_GBK"/>
                <w:sz w:val="28"/>
              </w:rPr>
            </w:pPr>
          </w:p>
        </w:tc>
      </w:tr>
    </w:tbl>
    <w:p>
      <w:pPr>
        <w:pStyle w:val="170"/>
        <w:rPr>
          <w:rFonts w:ascii="方正仿宋_GBK" w:hAnsi="方正仿宋_GBK" w:eastAsia="方正仿宋_GBK" w:cs="方正仿宋_GBK"/>
        </w:rPr>
      </w:pPr>
      <w:r>
        <w:rPr>
          <w:rFonts w:hint="eastAsia" w:ascii="方正仿宋_GBK" w:hAnsi="方正仿宋_GBK" w:eastAsia="方正仿宋_GBK" w:cs="方正仿宋_GBK"/>
          <w:b/>
          <w:sz w:val="24"/>
        </w:rPr>
        <w:t>注：请填写此表，并按要求上传业绩资料电子件。</w:t>
      </w:r>
    </w:p>
    <w:p>
      <w:pPr>
        <w:pStyle w:val="65"/>
        <w:rPr>
          <w:rFonts w:ascii="宋体" w:hAnsi="宋体" w:eastAsia="宋体" w:cs="宋体"/>
        </w:rPr>
      </w:pPr>
    </w:p>
    <w:p>
      <w:pPr>
        <w:pStyle w:val="112"/>
      </w:pPr>
    </w:p>
    <w:p>
      <w:pPr>
        <w:pStyle w:val="112"/>
      </w:pPr>
    </w:p>
    <w:p>
      <w:pPr>
        <w:pStyle w:val="112"/>
      </w:pPr>
    </w:p>
    <w:p>
      <w:pPr>
        <w:pStyle w:val="112"/>
      </w:pPr>
    </w:p>
    <w:p>
      <w:pPr>
        <w:pStyle w:val="112"/>
      </w:pPr>
    </w:p>
    <w:p>
      <w:pPr>
        <w:pStyle w:val="112"/>
      </w:pPr>
    </w:p>
    <w:p>
      <w:pPr>
        <w:pStyle w:val="112"/>
      </w:pPr>
    </w:p>
    <w:p>
      <w:pPr>
        <w:pStyle w:val="112"/>
      </w:pPr>
    </w:p>
    <w:p>
      <w:pPr>
        <w:pStyle w:val="71"/>
        <w:rPr>
          <w:rFonts w:ascii="Times New Roman" w:hAnsi="Times New Roman"/>
          <w:b/>
          <w:kern w:val="0"/>
          <w:sz w:val="32"/>
          <w:szCs w:val="24"/>
        </w:rPr>
        <w:sectPr>
          <w:pgSz w:w="11906" w:h="16838"/>
          <w:pgMar w:top="1418" w:right="1588" w:bottom="1418" w:left="1365" w:header="851" w:footer="907" w:gutter="0"/>
          <w:cols w:space="720" w:num="1"/>
          <w:titlePg/>
          <w:docGrid w:type="lines" w:linePitch="290" w:charSpace="0"/>
        </w:sectPr>
      </w:pPr>
    </w:p>
    <w:p>
      <w:pPr>
        <w:pStyle w:val="60"/>
        <w:outlineLvl w:val="1"/>
        <w:rPr>
          <w:rFonts w:ascii="方正仿宋_GBK" w:hAnsi="方正仿宋_GBK" w:eastAsia="方正仿宋_GBK" w:cs="方正仿宋_GBK"/>
        </w:rPr>
      </w:pPr>
      <w:r>
        <w:rPr>
          <w:rFonts w:hint="eastAsia" w:ascii="方正仿宋_GBK" w:hAnsi="方正仿宋_GBK" w:eastAsia="方正仿宋_GBK" w:cs="方正仿宋_GBK"/>
        </w:rPr>
        <w:t>十、人员配备要求承诺函</w:t>
      </w:r>
    </w:p>
    <w:p>
      <w:pPr>
        <w:pStyle w:val="71"/>
        <w:rPr>
          <w:rFonts w:ascii="Times New Roman" w:hAnsi="Times New Roman"/>
          <w:b/>
          <w:kern w:val="0"/>
          <w:sz w:val="32"/>
          <w:szCs w:val="24"/>
        </w:rPr>
      </w:pPr>
    </w:p>
    <w:p>
      <w:pPr>
        <w:pStyle w:val="203"/>
        <w:jc w:val="center"/>
        <w:rPr>
          <w:rFonts w:ascii="方正仿宋_GBK" w:hAnsi="方正仿宋_GBK" w:eastAsia="方正仿宋_GBK" w:cs="方正仿宋_GBK"/>
          <w:sz w:val="28"/>
          <w:szCs w:val="28"/>
        </w:rPr>
      </w:pPr>
      <w:r>
        <w:rPr>
          <w:rFonts w:hint="eastAsia" w:ascii="方正仿宋_GBK" w:hAnsi="方正仿宋_GBK" w:eastAsia="方正仿宋_GBK" w:cs="方正仿宋_GBK"/>
          <w:b/>
          <w:sz w:val="30"/>
          <w:szCs w:val="30"/>
        </w:rPr>
        <w:t>人员配备要求承诺函</w:t>
      </w:r>
    </w:p>
    <w:p>
      <w:pPr>
        <w:pStyle w:val="203"/>
        <w:spacing w:before="10" w:after="10" w:line="600" w:lineRule="exact"/>
        <w:rPr>
          <w:rFonts w:ascii="方正仿宋_GBK" w:hAnsi="方正仿宋_GBK" w:eastAsia="方正仿宋_GBK" w:cs="方正仿宋_GBK"/>
          <w:color w:val="000000"/>
          <w:sz w:val="28"/>
          <w:szCs w:val="22"/>
        </w:rPr>
      </w:pPr>
    </w:p>
    <w:p>
      <w:pPr>
        <w:pStyle w:val="203"/>
        <w:spacing w:before="10" w:after="10" w:line="600" w:lineRule="exact"/>
        <w:rPr>
          <w:rFonts w:ascii="方正仿宋_GBK" w:hAnsi="方正仿宋_GBK" w:eastAsia="方正仿宋_GBK" w:cs="方正仿宋_GBK"/>
          <w:sz w:val="28"/>
          <w:szCs w:val="28"/>
          <w:highlight w:val="green"/>
          <w:u w:val="single"/>
        </w:rPr>
      </w:pPr>
      <w:bookmarkStart w:id="172" w:name="OLE_LINK29"/>
      <w:r>
        <w:rPr>
          <w:rFonts w:hint="eastAsia" w:ascii="方正仿宋_GBK" w:hAnsi="方正仿宋_GBK" w:eastAsia="方正仿宋_GBK" w:cs="方正仿宋_GBK"/>
          <w:sz w:val="28"/>
          <w:szCs w:val="28"/>
          <w:highlight w:val="green"/>
          <w:u w:val="single"/>
        </w:rPr>
        <w:t xml:space="preserve">                ：</w:t>
      </w:r>
    </w:p>
    <w:p>
      <w:pPr>
        <w:spacing w:line="500" w:lineRule="exact"/>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highlight w:val="green"/>
        </w:rPr>
        <w:t>根据</w:t>
      </w:r>
      <w:r>
        <w:rPr>
          <w:rFonts w:hint="eastAsia" w:ascii="方正仿宋_GBK" w:hAnsi="方正仿宋_GBK" w:eastAsia="方正仿宋_GBK" w:cs="方正仿宋_GBK"/>
          <w:sz w:val="28"/>
          <w:szCs w:val="28"/>
          <w:highlight w:val="green"/>
          <w:u w:val="single"/>
        </w:rPr>
        <w:t xml:space="preserve">                </w:t>
      </w:r>
      <w:r>
        <w:rPr>
          <w:rFonts w:hint="eastAsia" w:ascii="方正仿宋_GBK" w:hAnsi="方正仿宋_GBK" w:eastAsia="方正仿宋_GBK" w:cs="方正仿宋_GBK"/>
          <w:bCs/>
          <w:sz w:val="28"/>
          <w:szCs w:val="28"/>
          <w:highlight w:val="green"/>
        </w:rPr>
        <w:t>号</w:t>
      </w:r>
      <w:bookmarkEnd w:id="172"/>
      <w:r>
        <w:rPr>
          <w:rFonts w:hint="eastAsia" w:ascii="方正仿宋_GBK" w:hAnsi="方正仿宋_GBK" w:eastAsia="方正仿宋_GBK" w:cs="方正仿宋_GBK"/>
          <w:sz w:val="28"/>
          <w:szCs w:val="28"/>
          <w:highlight w:val="green"/>
          <w:u w:val="single"/>
        </w:rPr>
        <w:t xml:space="preserve">               项目</w:t>
      </w:r>
      <w:r>
        <w:rPr>
          <w:rFonts w:hint="eastAsia" w:ascii="方正仿宋_GBK" w:hAnsi="方正仿宋_GBK" w:eastAsia="方正仿宋_GBK" w:cs="方正仿宋_GBK"/>
          <w:sz w:val="28"/>
          <w:szCs w:val="28"/>
        </w:rPr>
        <w:t>招标文件相关要求，承诺如下：针对“第四部分、采购需求-五、人员配备要求”内容，我单位完全响应，如我单位中标，将按照响应内容进行履约。如我单位投标文件的响应方案优于采购需求，将按投标文件履约。</w:t>
      </w:r>
    </w:p>
    <w:p>
      <w:pPr>
        <w:pStyle w:val="59"/>
        <w:spacing w:before="10" w:after="10" w:line="600" w:lineRule="exact"/>
        <w:ind w:firstLine="560"/>
        <w:rPr>
          <w:rFonts w:ascii="方正仿宋_GBK" w:hAnsi="方正仿宋_GBK" w:eastAsia="方正仿宋_GBK" w:cs="方正仿宋_GBK"/>
          <w:sz w:val="28"/>
          <w:szCs w:val="28"/>
        </w:rPr>
      </w:pPr>
    </w:p>
    <w:p>
      <w:pPr>
        <w:pStyle w:val="59"/>
        <w:spacing w:after="200" w:line="500" w:lineRule="exact"/>
        <w:ind w:firstLine="560"/>
        <w:rPr>
          <w:rFonts w:ascii="方正仿宋_GBK" w:hAnsi="方正仿宋_GBK" w:eastAsia="方正仿宋_GBK" w:cs="方正仿宋_GBK"/>
          <w:sz w:val="28"/>
          <w:szCs w:val="28"/>
        </w:rPr>
      </w:pPr>
    </w:p>
    <w:p>
      <w:pPr>
        <w:pStyle w:val="59"/>
        <w:spacing w:before="10" w:after="10" w:line="600" w:lineRule="exact"/>
        <w:ind w:firstLine="560"/>
        <w:rPr>
          <w:rFonts w:ascii="方正仿宋_GBK" w:hAnsi="方正仿宋_GBK" w:eastAsia="方正仿宋_GBK" w:cs="方正仿宋_GBK"/>
          <w:sz w:val="28"/>
          <w:szCs w:val="28"/>
        </w:rPr>
      </w:pPr>
    </w:p>
    <w:p>
      <w:pPr>
        <w:pStyle w:val="59"/>
        <w:spacing w:after="200" w:line="500" w:lineRule="exact"/>
        <w:rPr>
          <w:rFonts w:ascii="方正仿宋_GBK" w:hAnsi="方正仿宋_GBK" w:eastAsia="方正仿宋_GBK" w:cs="方正仿宋_GBK"/>
          <w:sz w:val="28"/>
          <w:szCs w:val="28"/>
        </w:rPr>
      </w:pPr>
    </w:p>
    <w:p>
      <w:pPr>
        <w:pBdr>
          <w:top w:val="none" w:color="000000" w:sz="0" w:space="0"/>
          <w:left w:val="none" w:color="000000" w:sz="0" w:space="0"/>
          <w:bottom w:val="none" w:color="000000" w:sz="0" w:space="0"/>
          <w:right w:val="none" w:color="000000" w:sz="0" w:space="0"/>
        </w:pBdr>
        <w:spacing w:line="500" w:lineRule="exact"/>
        <w:ind w:firstLine="1968"/>
        <w:rPr>
          <w:rFonts w:ascii="方正仿宋_GBK" w:hAnsi="方正仿宋_GBK" w:eastAsia="方正仿宋_GBK" w:cs="方正仿宋_GBK"/>
          <w:b/>
          <w:sz w:val="40"/>
        </w:rPr>
      </w:pPr>
      <w:r>
        <w:rPr>
          <w:rFonts w:hint="eastAsia" w:ascii="方正仿宋_GBK" w:hAnsi="方正仿宋_GBK" w:eastAsia="方正仿宋_GBK" w:cs="方正仿宋_GBK"/>
          <w:b/>
          <w:color w:val="000000"/>
          <w:sz w:val="28"/>
        </w:rPr>
        <w:t>单位名称（盖CA电子公章）：</w:t>
      </w:r>
    </w:p>
    <w:p>
      <w:pPr>
        <w:pStyle w:val="71"/>
        <w:rPr>
          <w:rFonts w:ascii="Times New Roman" w:hAnsi="Times New Roman"/>
          <w:b/>
          <w:kern w:val="0"/>
          <w:sz w:val="32"/>
          <w:szCs w:val="24"/>
        </w:rPr>
      </w:pPr>
    </w:p>
    <w:p>
      <w:pPr>
        <w:pStyle w:val="71"/>
        <w:rPr>
          <w:rFonts w:ascii="Times New Roman" w:hAnsi="Times New Roman"/>
          <w:b/>
          <w:kern w:val="0"/>
          <w:sz w:val="32"/>
          <w:szCs w:val="24"/>
        </w:rPr>
        <w:sectPr>
          <w:pgSz w:w="11906" w:h="16838"/>
          <w:pgMar w:top="1418" w:right="1588" w:bottom="1418" w:left="1365" w:header="851" w:footer="907" w:gutter="0"/>
          <w:cols w:space="720" w:num="1"/>
          <w:titlePg/>
          <w:docGrid w:type="lines" w:linePitch="290" w:charSpace="0"/>
        </w:sectPr>
      </w:pPr>
    </w:p>
    <w:p>
      <w:pPr>
        <w:pStyle w:val="71"/>
      </w:pPr>
      <w:r>
        <w:rPr>
          <w:rFonts w:hint="eastAsia" w:ascii="Times New Roman" w:hAnsi="Times New Roman"/>
          <w:b/>
          <w:kern w:val="0"/>
          <w:sz w:val="32"/>
          <w:szCs w:val="24"/>
        </w:rPr>
        <w:t>十一</w:t>
      </w:r>
      <w:r>
        <w:rPr>
          <w:rFonts w:ascii="Times New Roman" w:hAnsi="Times New Roman"/>
          <w:b/>
          <w:kern w:val="0"/>
          <w:sz w:val="32"/>
          <w:szCs w:val="24"/>
        </w:rPr>
        <w:t>、项目实施方案</w:t>
      </w:r>
      <w:bookmarkEnd w:id="171"/>
    </w:p>
    <w:p>
      <w:pPr>
        <w:pStyle w:val="179"/>
        <w:spacing w:line="560" w:lineRule="exact"/>
        <w:jc w:val="center"/>
        <w:rPr>
          <w:rFonts w:ascii="宋体"/>
          <w:b/>
          <w:bCs/>
          <w:sz w:val="32"/>
          <w:szCs w:val="32"/>
        </w:rPr>
      </w:pPr>
      <w:r>
        <w:rPr>
          <w:rFonts w:hint="eastAsia" w:ascii="宋体"/>
          <w:b/>
          <w:bCs/>
          <w:sz w:val="32"/>
          <w:szCs w:val="32"/>
        </w:rPr>
        <w:t>格式自拟</w:t>
      </w:r>
    </w:p>
    <w:p>
      <w:pPr>
        <w:pStyle w:val="112"/>
        <w:outlineLvl w:val="1"/>
      </w:pPr>
      <w:r>
        <w:br w:type="page"/>
      </w:r>
      <w:bookmarkStart w:id="173" w:name="_Toc19651"/>
      <w:r>
        <w:t>十</w:t>
      </w:r>
      <w:r>
        <w:rPr>
          <w:rFonts w:hint="eastAsia"/>
        </w:rPr>
        <w:t>二</w:t>
      </w:r>
      <w:r>
        <w:t>、项目组人员</w:t>
      </w:r>
      <w:bookmarkEnd w:id="173"/>
    </w:p>
    <w:p>
      <w:pPr>
        <w:pStyle w:val="68"/>
        <w:jc w:val="center"/>
        <w:rPr>
          <w:rFonts w:ascii="宋体"/>
          <w:b/>
          <w:sz w:val="30"/>
          <w:szCs w:val="30"/>
        </w:rPr>
      </w:pPr>
      <w:r>
        <w:rPr>
          <w:rFonts w:hint="eastAsia" w:ascii="宋体" w:cs="宋体"/>
          <w:b/>
          <w:sz w:val="30"/>
          <w:szCs w:val="30"/>
          <w:highlight w:val="white"/>
        </w:rPr>
        <w:t>拟选派项目负责人简历表</w:t>
      </w:r>
    </w:p>
    <w:tbl>
      <w:tblPr>
        <w:tblStyle w:val="43"/>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110"/>
        <w:gridCol w:w="1049"/>
        <w:gridCol w:w="676"/>
        <w:gridCol w:w="225"/>
        <w:gridCol w:w="768"/>
        <w:gridCol w:w="955"/>
        <w:gridCol w:w="1029"/>
        <w:gridCol w:w="353"/>
        <w:gridCol w:w="214"/>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1966" w:type="dxa"/>
            <w:gridSpan w:val="2"/>
            <w:vAlign w:val="center"/>
          </w:tcPr>
          <w:p>
            <w:pPr>
              <w:pStyle w:val="156"/>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姓  名</w:t>
            </w:r>
          </w:p>
        </w:tc>
        <w:tc>
          <w:tcPr>
            <w:tcW w:w="1049" w:type="dxa"/>
            <w:vAlign w:val="center"/>
          </w:tcPr>
          <w:p>
            <w:pPr>
              <w:pStyle w:val="156"/>
              <w:spacing w:line="440" w:lineRule="exact"/>
              <w:jc w:val="center"/>
              <w:rPr>
                <w:rFonts w:ascii="方正仿宋_GBK" w:hAnsi="方正仿宋_GBK" w:eastAsia="方正仿宋_GBK" w:cs="方正仿宋_GBK"/>
                <w:sz w:val="28"/>
                <w:szCs w:val="28"/>
              </w:rPr>
            </w:pPr>
          </w:p>
        </w:tc>
        <w:tc>
          <w:tcPr>
            <w:tcW w:w="901" w:type="dxa"/>
            <w:gridSpan w:val="2"/>
            <w:vAlign w:val="center"/>
          </w:tcPr>
          <w:p>
            <w:pPr>
              <w:pStyle w:val="156"/>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龄</w:t>
            </w:r>
          </w:p>
        </w:tc>
        <w:tc>
          <w:tcPr>
            <w:tcW w:w="768" w:type="dxa"/>
            <w:vAlign w:val="center"/>
          </w:tcPr>
          <w:p>
            <w:pPr>
              <w:pStyle w:val="156"/>
              <w:spacing w:line="440" w:lineRule="exact"/>
              <w:jc w:val="center"/>
              <w:rPr>
                <w:rFonts w:ascii="方正仿宋_GBK" w:hAnsi="方正仿宋_GBK" w:eastAsia="方正仿宋_GBK" w:cs="方正仿宋_GBK"/>
                <w:sz w:val="28"/>
                <w:szCs w:val="28"/>
              </w:rPr>
            </w:pPr>
          </w:p>
        </w:tc>
        <w:tc>
          <w:tcPr>
            <w:tcW w:w="2337" w:type="dxa"/>
            <w:gridSpan w:val="3"/>
            <w:vAlign w:val="center"/>
          </w:tcPr>
          <w:p>
            <w:pPr>
              <w:pStyle w:val="156"/>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学历</w:t>
            </w:r>
          </w:p>
        </w:tc>
        <w:tc>
          <w:tcPr>
            <w:tcW w:w="1862" w:type="dxa"/>
            <w:gridSpan w:val="2"/>
            <w:vAlign w:val="center"/>
          </w:tcPr>
          <w:p>
            <w:pPr>
              <w:pStyle w:val="156"/>
              <w:spacing w:line="440" w:lineRule="exact"/>
              <w:jc w:val="center"/>
              <w:rPr>
                <w:rFonts w:ascii="方正仿宋_GBK" w:hAnsi="方正仿宋_GBK" w:eastAsia="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1966" w:type="dxa"/>
            <w:gridSpan w:val="2"/>
            <w:vAlign w:val="center"/>
          </w:tcPr>
          <w:p>
            <w:pPr>
              <w:pStyle w:val="156"/>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毕业学校</w:t>
            </w:r>
          </w:p>
        </w:tc>
        <w:tc>
          <w:tcPr>
            <w:tcW w:w="6917" w:type="dxa"/>
            <w:gridSpan w:val="9"/>
            <w:vAlign w:val="center"/>
          </w:tcPr>
          <w:p>
            <w:pPr>
              <w:pStyle w:val="156"/>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年毕业于  </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学校</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966" w:type="dxa"/>
            <w:gridSpan w:val="2"/>
            <w:vAlign w:val="center"/>
          </w:tcPr>
          <w:p>
            <w:pPr>
              <w:pStyle w:val="156"/>
              <w:spacing w:line="4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专业技术职称</w:t>
            </w:r>
          </w:p>
        </w:tc>
        <w:tc>
          <w:tcPr>
            <w:tcW w:w="2718" w:type="dxa"/>
            <w:gridSpan w:val="4"/>
            <w:vAlign w:val="center"/>
          </w:tcPr>
          <w:p>
            <w:pPr>
              <w:pStyle w:val="156"/>
              <w:spacing w:line="440" w:lineRule="exact"/>
              <w:rPr>
                <w:rFonts w:ascii="方正仿宋_GBK" w:hAnsi="方正仿宋_GBK" w:eastAsia="方正仿宋_GBK" w:cs="方正仿宋_GBK"/>
                <w:sz w:val="28"/>
                <w:szCs w:val="28"/>
              </w:rPr>
            </w:pPr>
          </w:p>
        </w:tc>
        <w:tc>
          <w:tcPr>
            <w:tcW w:w="1984" w:type="dxa"/>
            <w:gridSpan w:val="2"/>
            <w:vAlign w:val="center"/>
          </w:tcPr>
          <w:p>
            <w:pPr>
              <w:pStyle w:val="156"/>
              <w:spacing w:line="4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执业资格证书及注册编号</w:t>
            </w:r>
          </w:p>
        </w:tc>
        <w:tc>
          <w:tcPr>
            <w:tcW w:w="2215" w:type="dxa"/>
            <w:gridSpan w:val="3"/>
            <w:vAlign w:val="center"/>
          </w:tcPr>
          <w:p>
            <w:pPr>
              <w:pStyle w:val="156"/>
              <w:spacing w:line="440" w:lineRule="exact"/>
              <w:rPr>
                <w:rFonts w:ascii="方正仿宋_GBK" w:hAnsi="方正仿宋_GBK" w:eastAsia="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jc w:val="center"/>
        </w:trPr>
        <w:tc>
          <w:tcPr>
            <w:tcW w:w="8883" w:type="dxa"/>
            <w:gridSpan w:val="11"/>
            <w:vAlign w:val="center"/>
          </w:tcPr>
          <w:p>
            <w:pPr>
              <w:pStyle w:val="156"/>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主要主持的类似项目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56" w:type="dxa"/>
            <w:vAlign w:val="center"/>
          </w:tcPr>
          <w:p>
            <w:pPr>
              <w:pStyle w:val="156"/>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序号</w:t>
            </w:r>
          </w:p>
        </w:tc>
        <w:tc>
          <w:tcPr>
            <w:tcW w:w="2835" w:type="dxa"/>
            <w:gridSpan w:val="3"/>
            <w:vAlign w:val="center"/>
          </w:tcPr>
          <w:p>
            <w:pPr>
              <w:pStyle w:val="156"/>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项目名称</w:t>
            </w:r>
          </w:p>
        </w:tc>
        <w:tc>
          <w:tcPr>
            <w:tcW w:w="1948" w:type="dxa"/>
            <w:gridSpan w:val="3"/>
            <w:vAlign w:val="center"/>
          </w:tcPr>
          <w:p>
            <w:pPr>
              <w:pStyle w:val="156"/>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合同甲方</w:t>
            </w:r>
          </w:p>
        </w:tc>
        <w:tc>
          <w:tcPr>
            <w:tcW w:w="1596" w:type="dxa"/>
            <w:gridSpan w:val="3"/>
            <w:vAlign w:val="center"/>
          </w:tcPr>
          <w:p>
            <w:pPr>
              <w:pStyle w:val="156"/>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获得的</w:t>
            </w:r>
          </w:p>
          <w:p>
            <w:pPr>
              <w:pStyle w:val="156"/>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奖项</w:t>
            </w:r>
          </w:p>
        </w:tc>
        <w:tc>
          <w:tcPr>
            <w:tcW w:w="1648" w:type="dxa"/>
            <w:vAlign w:val="center"/>
          </w:tcPr>
          <w:p>
            <w:pPr>
              <w:pStyle w:val="156"/>
              <w:spacing w:line="44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856" w:type="dxa"/>
          </w:tcPr>
          <w:p>
            <w:pPr>
              <w:pStyle w:val="156"/>
              <w:spacing w:line="3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p>
        </w:tc>
        <w:tc>
          <w:tcPr>
            <w:tcW w:w="2835" w:type="dxa"/>
            <w:gridSpan w:val="3"/>
          </w:tcPr>
          <w:p>
            <w:pPr>
              <w:pStyle w:val="156"/>
              <w:spacing w:line="360" w:lineRule="exact"/>
              <w:rPr>
                <w:rFonts w:ascii="方正仿宋_GBK" w:hAnsi="方正仿宋_GBK" w:eastAsia="方正仿宋_GBK" w:cs="方正仿宋_GBK"/>
                <w:szCs w:val="21"/>
              </w:rPr>
            </w:pPr>
          </w:p>
        </w:tc>
        <w:tc>
          <w:tcPr>
            <w:tcW w:w="1948" w:type="dxa"/>
            <w:gridSpan w:val="3"/>
          </w:tcPr>
          <w:p>
            <w:pPr>
              <w:pStyle w:val="156"/>
              <w:spacing w:line="360" w:lineRule="exact"/>
              <w:rPr>
                <w:rFonts w:ascii="方正仿宋_GBK" w:hAnsi="方正仿宋_GBK" w:eastAsia="方正仿宋_GBK" w:cs="方正仿宋_GBK"/>
                <w:szCs w:val="21"/>
              </w:rPr>
            </w:pPr>
          </w:p>
        </w:tc>
        <w:tc>
          <w:tcPr>
            <w:tcW w:w="1596" w:type="dxa"/>
            <w:gridSpan w:val="3"/>
          </w:tcPr>
          <w:p>
            <w:pPr>
              <w:pStyle w:val="156"/>
              <w:spacing w:line="360" w:lineRule="exact"/>
              <w:rPr>
                <w:rFonts w:ascii="方正仿宋_GBK" w:hAnsi="方正仿宋_GBK" w:eastAsia="方正仿宋_GBK" w:cs="方正仿宋_GBK"/>
                <w:szCs w:val="21"/>
              </w:rPr>
            </w:pPr>
          </w:p>
        </w:tc>
        <w:tc>
          <w:tcPr>
            <w:tcW w:w="1648" w:type="dxa"/>
          </w:tcPr>
          <w:p>
            <w:pPr>
              <w:pStyle w:val="156"/>
              <w:spacing w:line="360" w:lineRule="exact"/>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3" w:hRule="atLeast"/>
          <w:jc w:val="center"/>
        </w:trPr>
        <w:tc>
          <w:tcPr>
            <w:tcW w:w="856" w:type="dxa"/>
          </w:tcPr>
          <w:p>
            <w:pPr>
              <w:pStyle w:val="156"/>
              <w:spacing w:line="3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p>
        </w:tc>
        <w:tc>
          <w:tcPr>
            <w:tcW w:w="2835" w:type="dxa"/>
            <w:gridSpan w:val="3"/>
          </w:tcPr>
          <w:p>
            <w:pPr>
              <w:pStyle w:val="156"/>
              <w:spacing w:line="360" w:lineRule="exact"/>
              <w:rPr>
                <w:rFonts w:ascii="方正仿宋_GBK" w:hAnsi="方正仿宋_GBK" w:eastAsia="方正仿宋_GBK" w:cs="方正仿宋_GBK"/>
                <w:szCs w:val="21"/>
              </w:rPr>
            </w:pPr>
          </w:p>
        </w:tc>
        <w:tc>
          <w:tcPr>
            <w:tcW w:w="1948" w:type="dxa"/>
            <w:gridSpan w:val="3"/>
          </w:tcPr>
          <w:p>
            <w:pPr>
              <w:pStyle w:val="156"/>
              <w:spacing w:line="360" w:lineRule="exact"/>
              <w:rPr>
                <w:rFonts w:ascii="方正仿宋_GBK" w:hAnsi="方正仿宋_GBK" w:eastAsia="方正仿宋_GBK" w:cs="方正仿宋_GBK"/>
                <w:szCs w:val="21"/>
              </w:rPr>
            </w:pPr>
          </w:p>
        </w:tc>
        <w:tc>
          <w:tcPr>
            <w:tcW w:w="1596" w:type="dxa"/>
            <w:gridSpan w:val="3"/>
          </w:tcPr>
          <w:p>
            <w:pPr>
              <w:pStyle w:val="156"/>
              <w:spacing w:line="360" w:lineRule="exact"/>
              <w:rPr>
                <w:rFonts w:ascii="方正仿宋_GBK" w:hAnsi="方正仿宋_GBK" w:eastAsia="方正仿宋_GBK" w:cs="方正仿宋_GBK"/>
                <w:szCs w:val="21"/>
              </w:rPr>
            </w:pPr>
          </w:p>
        </w:tc>
        <w:tc>
          <w:tcPr>
            <w:tcW w:w="1648" w:type="dxa"/>
          </w:tcPr>
          <w:p>
            <w:pPr>
              <w:pStyle w:val="156"/>
              <w:spacing w:line="360" w:lineRule="exact"/>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856" w:type="dxa"/>
          </w:tcPr>
          <w:p>
            <w:pPr>
              <w:pStyle w:val="156"/>
              <w:spacing w:line="3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w:t>
            </w:r>
          </w:p>
        </w:tc>
        <w:tc>
          <w:tcPr>
            <w:tcW w:w="2835" w:type="dxa"/>
            <w:gridSpan w:val="3"/>
          </w:tcPr>
          <w:p>
            <w:pPr>
              <w:pStyle w:val="156"/>
              <w:spacing w:line="360" w:lineRule="exact"/>
              <w:rPr>
                <w:rFonts w:ascii="方正仿宋_GBK" w:hAnsi="方正仿宋_GBK" w:eastAsia="方正仿宋_GBK" w:cs="方正仿宋_GBK"/>
                <w:szCs w:val="21"/>
              </w:rPr>
            </w:pPr>
          </w:p>
        </w:tc>
        <w:tc>
          <w:tcPr>
            <w:tcW w:w="1948" w:type="dxa"/>
            <w:gridSpan w:val="3"/>
          </w:tcPr>
          <w:p>
            <w:pPr>
              <w:pStyle w:val="156"/>
              <w:spacing w:line="360" w:lineRule="exact"/>
              <w:rPr>
                <w:rFonts w:ascii="方正仿宋_GBK" w:hAnsi="方正仿宋_GBK" w:eastAsia="方正仿宋_GBK" w:cs="方正仿宋_GBK"/>
                <w:szCs w:val="21"/>
              </w:rPr>
            </w:pPr>
          </w:p>
        </w:tc>
        <w:tc>
          <w:tcPr>
            <w:tcW w:w="1596" w:type="dxa"/>
            <w:gridSpan w:val="3"/>
          </w:tcPr>
          <w:p>
            <w:pPr>
              <w:pStyle w:val="156"/>
              <w:spacing w:line="360" w:lineRule="exact"/>
              <w:rPr>
                <w:rFonts w:ascii="方正仿宋_GBK" w:hAnsi="方正仿宋_GBK" w:eastAsia="方正仿宋_GBK" w:cs="方正仿宋_GBK"/>
                <w:szCs w:val="21"/>
              </w:rPr>
            </w:pPr>
          </w:p>
        </w:tc>
        <w:tc>
          <w:tcPr>
            <w:tcW w:w="1648" w:type="dxa"/>
          </w:tcPr>
          <w:p>
            <w:pPr>
              <w:pStyle w:val="156"/>
              <w:spacing w:line="360" w:lineRule="exact"/>
              <w:rPr>
                <w:rFonts w:ascii="方正仿宋_GBK" w:hAnsi="方正仿宋_GBK" w:eastAsia="方正仿宋_GBK" w:cs="方正仿宋_GBK"/>
                <w:szCs w:val="21"/>
              </w:rPr>
            </w:pPr>
          </w:p>
        </w:tc>
      </w:tr>
    </w:tbl>
    <w:p>
      <w:pPr>
        <w:pStyle w:val="123"/>
        <w:spacing w:line="460" w:lineRule="exact"/>
        <w:ind w:firstLine="398" w:firstLineChars="165"/>
        <w:rPr>
          <w:rFonts w:ascii="方正仿宋_GBK" w:hAnsi="方正仿宋_GBK" w:eastAsia="方正仿宋_GBK" w:cs="方正仿宋_GBK"/>
          <w:kern w:val="2"/>
          <w:sz w:val="24"/>
          <w:szCs w:val="22"/>
        </w:rPr>
      </w:pPr>
      <w:r>
        <w:rPr>
          <w:rFonts w:hint="eastAsia" w:ascii="方正仿宋_GBK" w:hAnsi="方正仿宋_GBK" w:eastAsia="方正仿宋_GBK" w:cs="方正仿宋_GBK"/>
          <w:kern w:val="2"/>
          <w:sz w:val="24"/>
          <w:szCs w:val="22"/>
        </w:rPr>
        <w:t>注：1、投标文件中需按要求提供项目负责人有关证书证明。</w:t>
      </w:r>
    </w:p>
    <w:p>
      <w:pPr>
        <w:pStyle w:val="123"/>
        <w:spacing w:line="460" w:lineRule="exact"/>
        <w:ind w:firstLine="879" w:firstLineChars="365"/>
        <w:rPr>
          <w:rFonts w:ascii="方正仿宋_GBK" w:hAnsi="方正仿宋_GBK" w:eastAsia="方正仿宋_GBK" w:cs="方正仿宋_GBK"/>
          <w:kern w:val="2"/>
          <w:sz w:val="24"/>
          <w:szCs w:val="22"/>
        </w:rPr>
      </w:pPr>
      <w:r>
        <w:rPr>
          <w:rFonts w:hint="eastAsia" w:ascii="方正仿宋_GBK" w:hAnsi="方正仿宋_GBK" w:eastAsia="方正仿宋_GBK" w:cs="方正仿宋_GBK"/>
          <w:kern w:val="2"/>
          <w:sz w:val="24"/>
          <w:szCs w:val="22"/>
        </w:rPr>
        <w:t>2、如中标，项目负责人须本表承诺实施，不得更换。</w:t>
      </w:r>
    </w:p>
    <w:p>
      <w:pPr>
        <w:pStyle w:val="152"/>
        <w:spacing w:line="600" w:lineRule="exact"/>
        <w:jc w:val="center"/>
        <w:rPr>
          <w:rFonts w:ascii="方正仿宋_GBK" w:hAnsi="方正仿宋_GBK" w:eastAsia="方正仿宋_GBK" w:cs="方正仿宋_GBK"/>
          <w:b/>
          <w:bCs/>
          <w:sz w:val="32"/>
          <w:szCs w:val="32"/>
        </w:rPr>
      </w:pPr>
    </w:p>
    <w:p>
      <w:pPr>
        <w:pStyle w:val="152"/>
        <w:spacing w:line="600" w:lineRule="exact"/>
        <w:jc w:val="center"/>
        <w:rPr>
          <w:rFonts w:ascii="方正仿宋_GBK" w:hAnsi="方正仿宋_GBK" w:eastAsia="方正仿宋_GBK" w:cs="方正仿宋_GBK"/>
          <w:b/>
          <w:bCs/>
          <w:sz w:val="32"/>
          <w:szCs w:val="32"/>
        </w:rPr>
      </w:pPr>
    </w:p>
    <w:p>
      <w:pPr>
        <w:pStyle w:val="152"/>
        <w:spacing w:line="560" w:lineRule="exact"/>
        <w:jc w:val="right"/>
        <w:rPr>
          <w:rFonts w:ascii="仿宋_GB2312" w:eastAsia="仿宋_GB2312"/>
          <w:sz w:val="24"/>
        </w:rPr>
      </w:pPr>
      <w:r>
        <w:rPr>
          <w:rFonts w:hint="eastAsia" w:ascii="方正仿宋_GBK" w:hAnsi="方正仿宋_GBK" w:eastAsia="方正仿宋_GBK" w:cs="方正仿宋_GBK"/>
          <w:sz w:val="24"/>
        </w:rPr>
        <w:t>单位名称：</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 xml:space="preserve">（电子签章） </w:t>
      </w:r>
      <w:r>
        <w:rPr>
          <w:rFonts w:hint="eastAsia" w:ascii="仿宋_GB2312" w:eastAsia="仿宋_GB2312"/>
          <w:sz w:val="24"/>
        </w:rPr>
        <w:t xml:space="preserve"> </w:t>
      </w:r>
      <w:bookmarkStart w:id="174" w:name="_Toc11176"/>
    </w:p>
    <w:p>
      <w:pPr>
        <w:pStyle w:val="152"/>
        <w:spacing w:line="560" w:lineRule="exact"/>
        <w:jc w:val="right"/>
        <w:rPr>
          <w:rFonts w:ascii="仿宋_GB2312" w:eastAsia="仿宋_GB2312"/>
          <w:sz w:val="24"/>
        </w:rPr>
      </w:pPr>
    </w:p>
    <w:p>
      <w:pPr>
        <w:pStyle w:val="152"/>
        <w:spacing w:line="560" w:lineRule="exact"/>
        <w:jc w:val="right"/>
        <w:rPr>
          <w:rFonts w:ascii="仿宋_GB2312" w:eastAsia="仿宋_GB2312"/>
          <w:sz w:val="24"/>
        </w:rPr>
      </w:pPr>
    </w:p>
    <w:p>
      <w:pPr>
        <w:pStyle w:val="152"/>
        <w:spacing w:line="560" w:lineRule="exact"/>
        <w:jc w:val="right"/>
        <w:rPr>
          <w:rFonts w:ascii="仿宋_GB2312" w:eastAsia="仿宋_GB2312"/>
          <w:sz w:val="24"/>
        </w:rPr>
      </w:pPr>
    </w:p>
    <w:p>
      <w:pPr>
        <w:pStyle w:val="152"/>
        <w:spacing w:line="560" w:lineRule="exact"/>
        <w:jc w:val="right"/>
        <w:rPr>
          <w:rFonts w:ascii="仿宋_GB2312" w:eastAsia="仿宋_GB2312"/>
          <w:sz w:val="24"/>
        </w:rPr>
      </w:pPr>
    </w:p>
    <w:p>
      <w:pPr>
        <w:pStyle w:val="152"/>
        <w:spacing w:line="560" w:lineRule="exact"/>
        <w:jc w:val="right"/>
        <w:rPr>
          <w:rFonts w:ascii="仿宋_GB2312" w:eastAsia="仿宋_GB2312"/>
          <w:sz w:val="24"/>
        </w:rPr>
      </w:pPr>
    </w:p>
    <w:p>
      <w:pPr>
        <w:pStyle w:val="152"/>
        <w:spacing w:line="560" w:lineRule="exact"/>
        <w:jc w:val="right"/>
        <w:rPr>
          <w:rFonts w:ascii="仿宋_GB2312" w:eastAsia="仿宋_GB2312"/>
          <w:sz w:val="24"/>
        </w:rPr>
      </w:pPr>
    </w:p>
    <w:p>
      <w:pPr>
        <w:pStyle w:val="152"/>
        <w:spacing w:line="560" w:lineRule="exact"/>
        <w:jc w:val="center"/>
        <w:rPr>
          <w:rFonts w:ascii="宋体"/>
          <w:b/>
          <w:bCs/>
          <w:sz w:val="32"/>
          <w:szCs w:val="32"/>
        </w:rPr>
      </w:pPr>
      <w:r>
        <w:rPr>
          <w:rFonts w:hint="eastAsia" w:ascii="宋体"/>
          <w:b/>
          <w:bCs/>
          <w:sz w:val="32"/>
          <w:szCs w:val="32"/>
        </w:rPr>
        <w:t>投标人项目管理、技术及服务人员一览表</w:t>
      </w:r>
    </w:p>
    <w:p>
      <w:pPr>
        <w:pStyle w:val="198"/>
        <w:spacing w:line="600" w:lineRule="exact"/>
        <w:jc w:val="center"/>
        <w:rPr>
          <w:rFonts w:ascii="宋体"/>
          <w:b/>
          <w:bCs/>
          <w:sz w:val="32"/>
          <w:szCs w:val="32"/>
        </w:rPr>
      </w:pPr>
    </w:p>
    <w:tbl>
      <w:tblPr>
        <w:tblStyle w:val="43"/>
        <w:tblpPr w:leftFromText="180" w:rightFromText="180" w:vertAnchor="text" w:horzAnchor="margin" w:tblpXSpec="center" w:tblpY="74"/>
        <w:tblW w:w="84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800"/>
        <w:gridCol w:w="1080"/>
        <w:gridCol w:w="1920"/>
        <w:gridCol w:w="960"/>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1188" w:type="dxa"/>
            <w:tcBorders>
              <w:top w:val="single" w:color="auto" w:sz="4" w:space="0"/>
              <w:left w:val="single" w:color="auto" w:sz="4" w:space="0"/>
              <w:bottom w:val="single" w:color="auto" w:sz="4" w:space="0"/>
              <w:right w:val="single" w:color="auto" w:sz="4" w:space="0"/>
            </w:tcBorders>
            <w:vAlign w:val="center"/>
          </w:tcPr>
          <w:p>
            <w:pPr>
              <w:pStyle w:val="198"/>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姓  名</w:t>
            </w:r>
          </w:p>
        </w:tc>
        <w:tc>
          <w:tcPr>
            <w:tcW w:w="1800" w:type="dxa"/>
            <w:tcBorders>
              <w:top w:val="single" w:color="auto" w:sz="4" w:space="0"/>
              <w:left w:val="single" w:color="auto" w:sz="4" w:space="0"/>
              <w:bottom w:val="single" w:color="auto" w:sz="4" w:space="0"/>
              <w:right w:val="single" w:color="auto" w:sz="4" w:space="0"/>
            </w:tcBorders>
            <w:vAlign w:val="center"/>
          </w:tcPr>
          <w:p>
            <w:pPr>
              <w:pStyle w:val="198"/>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本项目</w:t>
            </w:r>
          </w:p>
          <w:p>
            <w:pPr>
              <w:pStyle w:val="198"/>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拟任职务</w:t>
            </w:r>
          </w:p>
        </w:tc>
        <w:tc>
          <w:tcPr>
            <w:tcW w:w="1080" w:type="dxa"/>
            <w:tcBorders>
              <w:top w:val="single" w:color="auto" w:sz="4" w:space="0"/>
              <w:left w:val="single" w:color="auto" w:sz="4" w:space="0"/>
              <w:bottom w:val="single" w:color="auto" w:sz="4" w:space="0"/>
              <w:right w:val="single" w:color="auto" w:sz="4" w:space="0"/>
            </w:tcBorders>
            <w:vAlign w:val="center"/>
          </w:tcPr>
          <w:p>
            <w:pPr>
              <w:pStyle w:val="198"/>
              <w:widowControl/>
              <w:adjustRightInd w:val="0"/>
              <w:snapToGrid w:val="0"/>
              <w:spacing w:before="100" w:beforeAutospacing="1" w:line="56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学 历</w:t>
            </w:r>
          </w:p>
        </w:tc>
        <w:tc>
          <w:tcPr>
            <w:tcW w:w="1920" w:type="dxa"/>
            <w:tcBorders>
              <w:top w:val="single" w:color="auto" w:sz="4" w:space="0"/>
              <w:left w:val="single" w:color="auto" w:sz="4" w:space="0"/>
              <w:bottom w:val="single" w:color="auto" w:sz="4" w:space="0"/>
              <w:right w:val="single" w:color="auto" w:sz="4" w:space="0"/>
            </w:tcBorders>
            <w:vAlign w:val="center"/>
          </w:tcPr>
          <w:p>
            <w:pPr>
              <w:pStyle w:val="198"/>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身份证号</w:t>
            </w:r>
          </w:p>
        </w:tc>
        <w:tc>
          <w:tcPr>
            <w:tcW w:w="960" w:type="dxa"/>
            <w:tcBorders>
              <w:top w:val="single" w:color="auto" w:sz="4" w:space="0"/>
              <w:left w:val="single" w:color="auto" w:sz="4" w:space="0"/>
              <w:bottom w:val="single" w:color="auto" w:sz="4" w:space="0"/>
              <w:right w:val="single" w:color="auto" w:sz="4" w:space="0"/>
            </w:tcBorders>
            <w:vAlign w:val="center"/>
          </w:tcPr>
          <w:p>
            <w:pPr>
              <w:pStyle w:val="198"/>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联系电话</w:t>
            </w:r>
          </w:p>
        </w:tc>
        <w:tc>
          <w:tcPr>
            <w:tcW w:w="1493" w:type="dxa"/>
            <w:tcBorders>
              <w:top w:val="single" w:color="auto" w:sz="4" w:space="0"/>
              <w:left w:val="single" w:color="auto" w:sz="4" w:space="0"/>
              <w:bottom w:val="single" w:color="auto" w:sz="4" w:space="0"/>
              <w:right w:val="single" w:color="auto" w:sz="4" w:space="0"/>
            </w:tcBorders>
            <w:vAlign w:val="center"/>
          </w:tcPr>
          <w:p>
            <w:pPr>
              <w:pStyle w:val="198"/>
              <w:widowControl/>
              <w:adjustRightInd w:val="0"/>
              <w:snapToGrid w:val="0"/>
              <w:spacing w:before="100" w:beforeAutospacing="1"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188"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项目联系人</w:t>
            </w:r>
          </w:p>
        </w:tc>
        <w:tc>
          <w:tcPr>
            <w:tcW w:w="108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92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493"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填写手机号码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188"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08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92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493"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188"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08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92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493"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188"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08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92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493"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188"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08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92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493"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188"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08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92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493"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188"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08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92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493"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188"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08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92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493"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188"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08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92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493"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188"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08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92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c>
          <w:tcPr>
            <w:tcW w:w="1493" w:type="dxa"/>
            <w:tcBorders>
              <w:top w:val="single" w:color="auto" w:sz="4" w:space="0"/>
              <w:left w:val="single" w:color="auto" w:sz="4" w:space="0"/>
              <w:bottom w:val="single" w:color="auto" w:sz="4" w:space="0"/>
              <w:right w:val="single" w:color="auto" w:sz="4" w:space="0"/>
            </w:tcBorders>
            <w:vAlign w:val="center"/>
          </w:tcPr>
          <w:p>
            <w:pPr>
              <w:pStyle w:val="198"/>
              <w:spacing w:line="560" w:lineRule="exact"/>
              <w:jc w:val="center"/>
              <w:rPr>
                <w:rFonts w:ascii="方正仿宋_GBK" w:hAnsi="方正仿宋_GBK" w:eastAsia="方正仿宋_GBK" w:cs="方正仿宋_GBK"/>
                <w:sz w:val="28"/>
                <w:szCs w:val="28"/>
              </w:rPr>
            </w:pPr>
          </w:p>
        </w:tc>
      </w:tr>
    </w:tbl>
    <w:p>
      <w:pPr>
        <w:pStyle w:val="198"/>
        <w:spacing w:line="460" w:lineRule="exact"/>
        <w:ind w:firstLine="398" w:firstLineChars="165"/>
        <w:rPr>
          <w:rFonts w:ascii="方正仿宋_GBK" w:hAnsi="方正仿宋_GBK" w:eastAsia="方正仿宋_GBK" w:cs="方正仿宋_GBK"/>
          <w:b/>
          <w:sz w:val="24"/>
        </w:rPr>
      </w:pPr>
      <w:r>
        <w:rPr>
          <w:rFonts w:hint="eastAsia" w:ascii="方正仿宋_GBK" w:hAnsi="方正仿宋_GBK" w:eastAsia="方正仿宋_GBK" w:cs="方正仿宋_GBK"/>
          <w:b/>
          <w:sz w:val="24"/>
        </w:rPr>
        <w:t>注：如投标人中标，项目管理、技术及服务人员必须按本表承诺人员操作，不得随意更换。按招标文件要求附相关人员证书。</w:t>
      </w:r>
    </w:p>
    <w:p>
      <w:pPr>
        <w:pStyle w:val="198"/>
        <w:spacing w:line="500" w:lineRule="exact"/>
        <w:ind w:firstLine="280"/>
        <w:rPr>
          <w:rFonts w:ascii="方正仿宋_GBK" w:hAnsi="方正仿宋_GBK" w:eastAsia="方正仿宋_GBK" w:cs="方正仿宋_GBK"/>
          <w:sz w:val="24"/>
        </w:rPr>
      </w:pPr>
    </w:p>
    <w:p>
      <w:pPr>
        <w:pStyle w:val="198"/>
        <w:spacing w:line="500" w:lineRule="exact"/>
        <w:ind w:firstLine="280"/>
        <w:rPr>
          <w:rFonts w:ascii="方正仿宋_GBK" w:hAnsi="方正仿宋_GBK" w:eastAsia="方正仿宋_GBK" w:cs="方正仿宋_GBK"/>
          <w:sz w:val="24"/>
        </w:rPr>
      </w:pPr>
    </w:p>
    <w:p>
      <w:pPr>
        <w:pStyle w:val="152"/>
        <w:spacing w:line="600" w:lineRule="exact"/>
        <w:jc w:val="right"/>
        <w:rPr>
          <w:rFonts w:ascii="方正仿宋_GBK" w:hAnsi="方正仿宋_GBK" w:eastAsia="方正仿宋_GBK" w:cs="方正仿宋_GBK"/>
        </w:rPr>
      </w:pPr>
      <w:r>
        <w:rPr>
          <w:rFonts w:hint="eastAsia" w:ascii="方正仿宋_GBK" w:hAnsi="方正仿宋_GBK" w:eastAsia="方正仿宋_GBK" w:cs="方正仿宋_GBK"/>
          <w:sz w:val="24"/>
        </w:rPr>
        <w:t>单位名称：</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 xml:space="preserve">（电子签章）  </w:t>
      </w:r>
    </w:p>
    <w:p>
      <w:pPr>
        <w:pStyle w:val="162"/>
        <w:outlineLvl w:val="1"/>
      </w:pPr>
      <w:r>
        <w:br w:type="page"/>
      </w:r>
      <w:bookmarkStart w:id="175" w:name="_Toc27998"/>
      <w:r>
        <w:t>十</w:t>
      </w:r>
      <w:r>
        <w:rPr>
          <w:rFonts w:hint="eastAsia"/>
        </w:rPr>
        <w:t>三</w:t>
      </w:r>
      <w:r>
        <w:t>、投标人承担类似项目业绩一览表</w:t>
      </w:r>
      <w:bookmarkEnd w:id="175"/>
    </w:p>
    <w:p>
      <w:pPr>
        <w:pStyle w:val="129"/>
        <w:jc w:val="center"/>
        <w:rPr>
          <w:b/>
          <w:sz w:val="32"/>
          <w:szCs w:val="32"/>
        </w:rPr>
      </w:pPr>
      <w:r>
        <w:rPr>
          <w:rFonts w:hint="eastAsia"/>
          <w:b/>
          <w:sz w:val="32"/>
          <w:szCs w:val="32"/>
        </w:rPr>
        <w:t>业绩资料</w:t>
      </w:r>
    </w:p>
    <w:tbl>
      <w:tblPr>
        <w:tblStyle w:val="43"/>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0"/>
        <w:gridCol w:w="2586"/>
        <w:gridCol w:w="2933"/>
        <w:gridCol w:w="2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6" w:hRule="atLeast"/>
          <w:jc w:val="center"/>
        </w:trPr>
        <w:tc>
          <w:tcPr>
            <w:tcW w:w="9044" w:type="dxa"/>
            <w:gridSpan w:val="4"/>
            <w:tcBorders>
              <w:top w:val="single" w:color="auto" w:sz="4" w:space="0"/>
              <w:left w:val="single" w:color="auto" w:sz="4" w:space="0"/>
              <w:bottom w:val="single" w:color="auto" w:sz="4" w:space="0"/>
              <w:right w:val="single" w:color="auto" w:sz="4" w:space="0"/>
            </w:tcBorders>
            <w:vAlign w:val="center"/>
          </w:tcPr>
          <w:p>
            <w:pPr>
              <w:pStyle w:val="155"/>
              <w:spacing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请按招标文件要求编制业绩材料电子件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6"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pPr>
              <w:pStyle w:val="155"/>
              <w:spacing w:line="5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序号</w:t>
            </w:r>
          </w:p>
        </w:tc>
        <w:tc>
          <w:tcPr>
            <w:tcW w:w="2586" w:type="dxa"/>
            <w:tcBorders>
              <w:top w:val="single" w:color="auto" w:sz="4" w:space="0"/>
              <w:left w:val="single" w:color="auto" w:sz="4" w:space="0"/>
              <w:bottom w:val="single" w:color="auto" w:sz="4" w:space="0"/>
              <w:right w:val="single" w:color="auto" w:sz="4" w:space="0"/>
            </w:tcBorders>
            <w:vAlign w:val="center"/>
          </w:tcPr>
          <w:p>
            <w:pPr>
              <w:pStyle w:val="155"/>
              <w:spacing w:line="5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项目名称</w:t>
            </w:r>
          </w:p>
        </w:tc>
        <w:tc>
          <w:tcPr>
            <w:tcW w:w="2933" w:type="dxa"/>
            <w:tcBorders>
              <w:top w:val="single" w:color="auto" w:sz="4" w:space="0"/>
              <w:left w:val="single" w:color="auto" w:sz="4" w:space="0"/>
              <w:bottom w:val="single" w:color="auto" w:sz="4" w:space="0"/>
              <w:right w:val="single" w:color="auto" w:sz="4" w:space="0"/>
            </w:tcBorders>
            <w:vAlign w:val="center"/>
          </w:tcPr>
          <w:p>
            <w:pPr>
              <w:pStyle w:val="155"/>
              <w:spacing w:line="560" w:lineRule="exact"/>
              <w:ind w:firstLine="210" w:firstLineChars="100"/>
              <w:rPr>
                <w:rFonts w:ascii="方正仿宋_GBK" w:hAnsi="方正仿宋_GBK" w:eastAsia="方正仿宋_GBK" w:cs="方正仿宋_GBK"/>
                <w:szCs w:val="21"/>
              </w:rPr>
            </w:pPr>
            <w:r>
              <w:rPr>
                <w:rFonts w:hint="eastAsia" w:ascii="方正仿宋_GBK" w:hAnsi="方正仿宋_GBK" w:eastAsia="方正仿宋_GBK" w:cs="方正仿宋_GBK"/>
                <w:szCs w:val="21"/>
              </w:rPr>
              <w:t>采购单位</w:t>
            </w:r>
          </w:p>
        </w:tc>
        <w:tc>
          <w:tcPr>
            <w:tcW w:w="2305" w:type="dxa"/>
            <w:tcBorders>
              <w:top w:val="single" w:color="auto" w:sz="4" w:space="0"/>
              <w:left w:val="single" w:color="auto" w:sz="4" w:space="0"/>
              <w:bottom w:val="single" w:color="auto" w:sz="4" w:space="0"/>
              <w:right w:val="single" w:color="auto" w:sz="4" w:space="0"/>
            </w:tcBorders>
            <w:vAlign w:val="center"/>
          </w:tcPr>
          <w:p>
            <w:pPr>
              <w:pStyle w:val="155"/>
              <w:spacing w:line="5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合同金额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6"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pPr>
              <w:pStyle w:val="155"/>
              <w:spacing w:line="560" w:lineRule="exact"/>
              <w:jc w:val="center"/>
              <w:rPr>
                <w:rFonts w:ascii="方正仿宋_GBK" w:hAnsi="方正仿宋_GBK" w:eastAsia="方正仿宋_GBK" w:cs="方正仿宋_GBK"/>
                <w:szCs w:val="21"/>
              </w:rPr>
            </w:pPr>
          </w:p>
        </w:tc>
        <w:tc>
          <w:tcPr>
            <w:tcW w:w="2586" w:type="dxa"/>
            <w:tcBorders>
              <w:top w:val="single" w:color="auto" w:sz="4" w:space="0"/>
              <w:left w:val="single" w:color="auto" w:sz="4" w:space="0"/>
              <w:bottom w:val="single" w:color="auto" w:sz="4" w:space="0"/>
              <w:right w:val="single" w:color="auto" w:sz="4" w:space="0"/>
            </w:tcBorders>
            <w:vAlign w:val="center"/>
          </w:tcPr>
          <w:p>
            <w:pPr>
              <w:pStyle w:val="155"/>
              <w:spacing w:line="560" w:lineRule="exact"/>
              <w:jc w:val="center"/>
              <w:rPr>
                <w:rFonts w:ascii="方正仿宋_GBK" w:hAnsi="方正仿宋_GBK" w:eastAsia="方正仿宋_GBK" w:cs="方正仿宋_GBK"/>
                <w:szCs w:val="21"/>
              </w:rPr>
            </w:pPr>
          </w:p>
        </w:tc>
        <w:tc>
          <w:tcPr>
            <w:tcW w:w="2933" w:type="dxa"/>
            <w:tcBorders>
              <w:top w:val="single" w:color="auto" w:sz="4" w:space="0"/>
              <w:left w:val="single" w:color="auto" w:sz="4" w:space="0"/>
              <w:bottom w:val="single" w:color="auto" w:sz="4" w:space="0"/>
              <w:right w:val="single" w:color="auto" w:sz="4" w:space="0"/>
            </w:tcBorders>
            <w:vAlign w:val="center"/>
          </w:tcPr>
          <w:p>
            <w:pPr>
              <w:pStyle w:val="155"/>
              <w:spacing w:line="560" w:lineRule="exact"/>
              <w:jc w:val="center"/>
              <w:rPr>
                <w:rFonts w:ascii="方正仿宋_GBK" w:hAnsi="方正仿宋_GBK" w:eastAsia="方正仿宋_GBK" w:cs="方正仿宋_GBK"/>
                <w:szCs w:val="21"/>
              </w:rPr>
            </w:pPr>
          </w:p>
        </w:tc>
        <w:tc>
          <w:tcPr>
            <w:tcW w:w="2305" w:type="dxa"/>
            <w:tcBorders>
              <w:top w:val="single" w:color="auto" w:sz="4" w:space="0"/>
              <w:left w:val="single" w:color="auto" w:sz="4" w:space="0"/>
              <w:bottom w:val="single" w:color="auto" w:sz="4" w:space="0"/>
              <w:right w:val="single" w:color="auto" w:sz="4" w:space="0"/>
            </w:tcBorders>
            <w:vAlign w:val="center"/>
          </w:tcPr>
          <w:p>
            <w:pPr>
              <w:pStyle w:val="155"/>
              <w:spacing w:line="560" w:lineRule="exact"/>
              <w:jc w:val="center"/>
              <w:rPr>
                <w:rFonts w:ascii="方正仿宋_GBK" w:hAnsi="方正仿宋_GBK" w:eastAsia="方正仿宋_GBK" w:cs="方正仿宋_GBK"/>
                <w:szCs w:val="21"/>
              </w:rPr>
            </w:pPr>
          </w:p>
        </w:tc>
      </w:tr>
    </w:tbl>
    <w:p>
      <w:pPr>
        <w:pStyle w:val="128"/>
        <w:jc w:val="center"/>
        <w:rPr>
          <w:b/>
          <w:sz w:val="32"/>
          <w:szCs w:val="32"/>
        </w:rPr>
      </w:pPr>
      <w:r>
        <w:rPr>
          <w:rFonts w:hint="eastAsia"/>
          <w:b/>
          <w:sz w:val="32"/>
          <w:szCs w:val="32"/>
        </w:rPr>
        <w:t>投标人承担类似项目业绩一览表</w:t>
      </w:r>
    </w:p>
    <w:tbl>
      <w:tblPr>
        <w:tblStyle w:val="43"/>
        <w:tblW w:w="8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9"/>
        <w:gridCol w:w="3827"/>
        <w:gridCol w:w="2433"/>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3" w:hRule="atLeast"/>
          <w:jc w:val="center"/>
        </w:trPr>
        <w:tc>
          <w:tcPr>
            <w:tcW w:w="1229" w:type="dxa"/>
          </w:tcPr>
          <w:p>
            <w:pPr>
              <w:pStyle w:val="170"/>
              <w:spacing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序号</w:t>
            </w:r>
          </w:p>
        </w:tc>
        <w:tc>
          <w:tcPr>
            <w:tcW w:w="3827" w:type="dxa"/>
            <w:vAlign w:val="center"/>
          </w:tcPr>
          <w:p>
            <w:pPr>
              <w:pStyle w:val="170"/>
              <w:spacing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项目名称</w:t>
            </w:r>
          </w:p>
        </w:tc>
        <w:tc>
          <w:tcPr>
            <w:tcW w:w="2433" w:type="dxa"/>
            <w:vAlign w:val="center"/>
          </w:tcPr>
          <w:p>
            <w:pPr>
              <w:pStyle w:val="170"/>
              <w:spacing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采购单位</w:t>
            </w:r>
          </w:p>
        </w:tc>
        <w:tc>
          <w:tcPr>
            <w:tcW w:w="1395" w:type="dxa"/>
            <w:vAlign w:val="center"/>
          </w:tcPr>
          <w:p>
            <w:pPr>
              <w:pStyle w:val="170"/>
              <w:spacing w:line="5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合同金额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0" w:hRule="atLeast"/>
          <w:jc w:val="center"/>
        </w:trPr>
        <w:tc>
          <w:tcPr>
            <w:tcW w:w="1229" w:type="dxa"/>
          </w:tcPr>
          <w:p>
            <w:pPr>
              <w:pStyle w:val="170"/>
              <w:spacing w:line="560" w:lineRule="exact"/>
              <w:jc w:val="center"/>
              <w:rPr>
                <w:rFonts w:ascii="方正仿宋_GBK" w:hAnsi="方正仿宋_GBK" w:eastAsia="方正仿宋_GBK" w:cs="方正仿宋_GBK"/>
                <w:sz w:val="28"/>
              </w:rPr>
            </w:pPr>
          </w:p>
        </w:tc>
        <w:tc>
          <w:tcPr>
            <w:tcW w:w="3827" w:type="dxa"/>
            <w:vAlign w:val="center"/>
          </w:tcPr>
          <w:p>
            <w:pPr>
              <w:pStyle w:val="170"/>
              <w:spacing w:line="560" w:lineRule="exact"/>
              <w:jc w:val="center"/>
              <w:rPr>
                <w:rFonts w:ascii="方正仿宋_GBK" w:hAnsi="方正仿宋_GBK" w:eastAsia="方正仿宋_GBK" w:cs="方正仿宋_GBK"/>
                <w:sz w:val="28"/>
              </w:rPr>
            </w:pPr>
          </w:p>
        </w:tc>
        <w:tc>
          <w:tcPr>
            <w:tcW w:w="2433" w:type="dxa"/>
            <w:vAlign w:val="center"/>
          </w:tcPr>
          <w:p>
            <w:pPr>
              <w:pStyle w:val="170"/>
              <w:spacing w:line="560" w:lineRule="exact"/>
              <w:jc w:val="center"/>
              <w:rPr>
                <w:rFonts w:ascii="方正仿宋_GBK" w:hAnsi="方正仿宋_GBK" w:eastAsia="方正仿宋_GBK" w:cs="方正仿宋_GBK"/>
                <w:sz w:val="28"/>
              </w:rPr>
            </w:pPr>
          </w:p>
        </w:tc>
        <w:tc>
          <w:tcPr>
            <w:tcW w:w="1395" w:type="dxa"/>
            <w:vAlign w:val="center"/>
          </w:tcPr>
          <w:p>
            <w:pPr>
              <w:pStyle w:val="170"/>
              <w:spacing w:line="560" w:lineRule="exact"/>
              <w:jc w:val="center"/>
              <w:rPr>
                <w:rFonts w:ascii="方正仿宋_GBK" w:hAnsi="方正仿宋_GBK" w:eastAsia="方正仿宋_GBK" w:cs="方正仿宋_GBK"/>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0" w:hRule="atLeast"/>
          <w:jc w:val="center"/>
        </w:trPr>
        <w:tc>
          <w:tcPr>
            <w:tcW w:w="1229" w:type="dxa"/>
          </w:tcPr>
          <w:p>
            <w:pPr>
              <w:pStyle w:val="170"/>
              <w:spacing w:line="560" w:lineRule="exact"/>
              <w:jc w:val="center"/>
              <w:rPr>
                <w:rFonts w:ascii="方正仿宋_GBK" w:hAnsi="方正仿宋_GBK" w:eastAsia="方正仿宋_GBK" w:cs="方正仿宋_GBK"/>
                <w:sz w:val="28"/>
              </w:rPr>
            </w:pPr>
          </w:p>
        </w:tc>
        <w:tc>
          <w:tcPr>
            <w:tcW w:w="3827" w:type="dxa"/>
            <w:vAlign w:val="center"/>
          </w:tcPr>
          <w:p>
            <w:pPr>
              <w:pStyle w:val="170"/>
              <w:spacing w:line="560" w:lineRule="exact"/>
              <w:jc w:val="center"/>
              <w:rPr>
                <w:rFonts w:ascii="方正仿宋_GBK" w:hAnsi="方正仿宋_GBK" w:eastAsia="方正仿宋_GBK" w:cs="方正仿宋_GBK"/>
                <w:sz w:val="28"/>
              </w:rPr>
            </w:pPr>
          </w:p>
        </w:tc>
        <w:tc>
          <w:tcPr>
            <w:tcW w:w="2433" w:type="dxa"/>
            <w:vAlign w:val="center"/>
          </w:tcPr>
          <w:p>
            <w:pPr>
              <w:pStyle w:val="170"/>
              <w:spacing w:line="560" w:lineRule="exact"/>
              <w:jc w:val="center"/>
              <w:rPr>
                <w:rFonts w:ascii="方正仿宋_GBK" w:hAnsi="方正仿宋_GBK" w:eastAsia="方正仿宋_GBK" w:cs="方正仿宋_GBK"/>
                <w:sz w:val="28"/>
              </w:rPr>
            </w:pPr>
          </w:p>
        </w:tc>
        <w:tc>
          <w:tcPr>
            <w:tcW w:w="1395" w:type="dxa"/>
            <w:vAlign w:val="center"/>
          </w:tcPr>
          <w:p>
            <w:pPr>
              <w:pStyle w:val="170"/>
              <w:spacing w:line="560" w:lineRule="exact"/>
              <w:jc w:val="center"/>
              <w:rPr>
                <w:rFonts w:ascii="方正仿宋_GBK" w:hAnsi="方正仿宋_GBK" w:eastAsia="方正仿宋_GBK" w:cs="方正仿宋_GBK"/>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0" w:hRule="atLeast"/>
          <w:jc w:val="center"/>
        </w:trPr>
        <w:tc>
          <w:tcPr>
            <w:tcW w:w="1229" w:type="dxa"/>
          </w:tcPr>
          <w:p>
            <w:pPr>
              <w:pStyle w:val="170"/>
              <w:spacing w:line="560" w:lineRule="exact"/>
              <w:jc w:val="center"/>
              <w:rPr>
                <w:rFonts w:ascii="方正仿宋_GBK" w:hAnsi="方正仿宋_GBK" w:eastAsia="方正仿宋_GBK" w:cs="方正仿宋_GBK"/>
                <w:sz w:val="28"/>
              </w:rPr>
            </w:pPr>
          </w:p>
        </w:tc>
        <w:tc>
          <w:tcPr>
            <w:tcW w:w="3827" w:type="dxa"/>
            <w:vAlign w:val="center"/>
          </w:tcPr>
          <w:p>
            <w:pPr>
              <w:pStyle w:val="170"/>
              <w:spacing w:line="560" w:lineRule="exact"/>
              <w:jc w:val="center"/>
              <w:rPr>
                <w:rFonts w:ascii="方正仿宋_GBK" w:hAnsi="方正仿宋_GBK" w:eastAsia="方正仿宋_GBK" w:cs="方正仿宋_GBK"/>
                <w:sz w:val="28"/>
              </w:rPr>
            </w:pPr>
          </w:p>
        </w:tc>
        <w:tc>
          <w:tcPr>
            <w:tcW w:w="2433" w:type="dxa"/>
            <w:vAlign w:val="center"/>
          </w:tcPr>
          <w:p>
            <w:pPr>
              <w:pStyle w:val="170"/>
              <w:spacing w:line="560" w:lineRule="exact"/>
              <w:jc w:val="center"/>
              <w:rPr>
                <w:rFonts w:ascii="方正仿宋_GBK" w:hAnsi="方正仿宋_GBK" w:eastAsia="方正仿宋_GBK" w:cs="方正仿宋_GBK"/>
                <w:sz w:val="28"/>
              </w:rPr>
            </w:pPr>
          </w:p>
        </w:tc>
        <w:tc>
          <w:tcPr>
            <w:tcW w:w="1395" w:type="dxa"/>
            <w:vAlign w:val="center"/>
          </w:tcPr>
          <w:p>
            <w:pPr>
              <w:pStyle w:val="170"/>
              <w:spacing w:line="560" w:lineRule="exact"/>
              <w:jc w:val="center"/>
              <w:rPr>
                <w:rFonts w:ascii="方正仿宋_GBK" w:hAnsi="方正仿宋_GBK" w:eastAsia="方正仿宋_GBK" w:cs="方正仿宋_GBK"/>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5" w:hRule="atLeast"/>
          <w:jc w:val="center"/>
        </w:trPr>
        <w:tc>
          <w:tcPr>
            <w:tcW w:w="1229" w:type="dxa"/>
          </w:tcPr>
          <w:p>
            <w:pPr>
              <w:pStyle w:val="170"/>
              <w:spacing w:line="560" w:lineRule="exact"/>
              <w:jc w:val="center"/>
              <w:rPr>
                <w:rFonts w:ascii="方正仿宋_GBK" w:hAnsi="方正仿宋_GBK" w:eastAsia="方正仿宋_GBK" w:cs="方正仿宋_GBK"/>
                <w:sz w:val="28"/>
              </w:rPr>
            </w:pPr>
          </w:p>
        </w:tc>
        <w:tc>
          <w:tcPr>
            <w:tcW w:w="3827" w:type="dxa"/>
            <w:vAlign w:val="center"/>
          </w:tcPr>
          <w:p>
            <w:pPr>
              <w:pStyle w:val="170"/>
              <w:spacing w:line="560" w:lineRule="exact"/>
              <w:jc w:val="center"/>
              <w:rPr>
                <w:rFonts w:ascii="方正仿宋_GBK" w:hAnsi="方正仿宋_GBK" w:eastAsia="方正仿宋_GBK" w:cs="方正仿宋_GBK"/>
                <w:sz w:val="28"/>
              </w:rPr>
            </w:pPr>
          </w:p>
        </w:tc>
        <w:tc>
          <w:tcPr>
            <w:tcW w:w="2433" w:type="dxa"/>
            <w:vAlign w:val="center"/>
          </w:tcPr>
          <w:p>
            <w:pPr>
              <w:pStyle w:val="170"/>
              <w:spacing w:line="560" w:lineRule="exact"/>
              <w:jc w:val="center"/>
              <w:rPr>
                <w:rFonts w:ascii="方正仿宋_GBK" w:hAnsi="方正仿宋_GBK" w:eastAsia="方正仿宋_GBK" w:cs="方正仿宋_GBK"/>
                <w:sz w:val="28"/>
              </w:rPr>
            </w:pPr>
          </w:p>
        </w:tc>
        <w:tc>
          <w:tcPr>
            <w:tcW w:w="1395" w:type="dxa"/>
            <w:vAlign w:val="center"/>
          </w:tcPr>
          <w:p>
            <w:pPr>
              <w:pStyle w:val="170"/>
              <w:spacing w:line="560" w:lineRule="exact"/>
              <w:jc w:val="center"/>
              <w:rPr>
                <w:rFonts w:ascii="方正仿宋_GBK" w:hAnsi="方正仿宋_GBK" w:eastAsia="方正仿宋_GBK" w:cs="方正仿宋_GBK"/>
                <w:sz w:val="28"/>
              </w:rPr>
            </w:pPr>
          </w:p>
        </w:tc>
      </w:tr>
    </w:tbl>
    <w:p>
      <w:pPr>
        <w:pStyle w:val="128"/>
        <w:rPr>
          <w:rFonts w:ascii="方正仿宋_GBK" w:hAnsi="方正仿宋_GBK" w:eastAsia="方正仿宋_GBK" w:cs="方正仿宋_GBK"/>
        </w:rPr>
      </w:pPr>
      <w:r>
        <w:rPr>
          <w:rFonts w:hint="eastAsia" w:ascii="方正仿宋_GBK" w:hAnsi="方正仿宋_GBK" w:eastAsia="方正仿宋_GBK" w:cs="方正仿宋_GBK"/>
          <w:b/>
          <w:sz w:val="24"/>
        </w:rPr>
        <w:t>注：请填写此表，并按要求上传业绩资料电子件。</w:t>
      </w:r>
    </w:p>
    <w:p>
      <w:pPr>
        <w:pStyle w:val="81"/>
        <w:spacing w:line="500" w:lineRule="exact"/>
        <w:rPr>
          <w:rFonts w:ascii="方正仿宋_GBK" w:hAnsi="方正仿宋_GBK" w:eastAsia="方正仿宋_GBK" w:cs="方正仿宋_GBK"/>
        </w:rPr>
        <w:sectPr>
          <w:pgSz w:w="11906" w:h="16838"/>
          <w:pgMar w:top="1418" w:right="1588" w:bottom="1418" w:left="1365" w:header="851" w:footer="907" w:gutter="0"/>
          <w:cols w:space="720" w:num="1"/>
          <w:titlePg/>
          <w:docGrid w:type="lines" w:linePitch="290" w:charSpace="0"/>
        </w:sectPr>
      </w:pPr>
    </w:p>
    <w:bookmarkEnd w:id="174"/>
    <w:p>
      <w:pPr>
        <w:pStyle w:val="65"/>
        <w:outlineLvl w:val="1"/>
        <w:rPr>
          <w:rFonts w:ascii="Times New Roman" w:hAnsi="Times New Roman"/>
        </w:rPr>
      </w:pPr>
      <w:bookmarkStart w:id="176" w:name="_Toc28140"/>
      <w:r>
        <w:rPr>
          <w:rFonts w:hint="eastAsia" w:ascii="Times New Roman" w:hAnsi="Times New Roman"/>
        </w:rPr>
        <w:t>十四</w:t>
      </w:r>
      <w:r>
        <w:rPr>
          <w:rFonts w:ascii="Times New Roman" w:hAnsi="Times New Roman"/>
        </w:rPr>
        <w:t>、投标所需其他材料</w:t>
      </w:r>
      <w:bookmarkEnd w:id="176"/>
    </w:p>
    <w:p>
      <w:pPr>
        <w:pStyle w:val="182"/>
        <w:spacing w:line="360" w:lineRule="auto"/>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请在此文档中增加投标所需其他相关内容（包括资格要求、评分办法、采购需求中涉及的证件证明及其它投标人认为有必要提供的资料），如没有请将此空文档上传。</w:t>
      </w:r>
    </w:p>
    <w:p>
      <w:pPr>
        <w:rPr>
          <w:sz w:val="20"/>
          <w:highlight w:val="white"/>
        </w:rPr>
      </w:pPr>
      <w:r>
        <w:rPr>
          <w:rFonts w:hint="eastAsia"/>
          <w:sz w:val="20"/>
          <w:highlight w:val="white"/>
        </w:rPr>
        <w:t xml:space="preserve"> </w:t>
      </w:r>
    </w:p>
    <w:p/>
    <w:p>
      <w:pPr>
        <w:rPr>
          <w:rFonts w:eastAsia="黑体"/>
          <w:sz w:val="32"/>
        </w:rPr>
      </w:pPr>
    </w:p>
    <w:p>
      <w:pPr>
        <w:rPr>
          <w:rFonts w:eastAsia="黑体"/>
          <w:sz w:val="32"/>
        </w:rPr>
      </w:pPr>
    </w:p>
    <w:p>
      <w:pPr>
        <w:rPr>
          <w:rFonts w:eastAsia="黑体"/>
          <w:sz w:val="32"/>
        </w:rPr>
      </w:pPr>
    </w:p>
    <w:p>
      <w:pPr>
        <w:rPr>
          <w:rFonts w:eastAsia="黑体"/>
          <w:sz w:val="32"/>
        </w:rPr>
      </w:pPr>
    </w:p>
    <w:bookmarkEnd w:id="162"/>
    <w:p>
      <w:pPr>
        <w:spacing w:line="480" w:lineRule="auto"/>
        <w:rPr>
          <w:sz w:val="24"/>
        </w:rPr>
      </w:pPr>
    </w:p>
    <w:p>
      <w:pPr>
        <w:spacing w:line="480" w:lineRule="auto"/>
        <w:rPr>
          <w:sz w:val="30"/>
        </w:rPr>
      </w:pPr>
    </w:p>
    <w:p>
      <w:pPr>
        <w:pStyle w:val="5"/>
        <w:ind w:firstLine="0"/>
        <w:rPr>
          <w:sz w:val="24"/>
        </w:rPr>
      </w:pPr>
      <w:bookmarkStart w:id="177" w:name="_Hlt26955066"/>
      <w:bookmarkEnd w:id="177"/>
      <w:bookmarkStart w:id="178" w:name="_Hlt26671374"/>
      <w:bookmarkEnd w:id="178"/>
      <w:bookmarkStart w:id="179" w:name="_Hlt26609389"/>
      <w:bookmarkEnd w:id="179"/>
      <w:bookmarkStart w:id="180" w:name="_Toc462564146"/>
    </w:p>
    <w:p>
      <w:pPr>
        <w:rPr>
          <w:sz w:val="24"/>
        </w:rPr>
      </w:pPr>
    </w:p>
    <w:p>
      <w:pPr>
        <w:pStyle w:val="101"/>
        <w:ind w:firstLine="480"/>
        <w:rPr>
          <w:rFonts w:ascii="Times New Roman" w:hAnsi="Times New Roman"/>
          <w:sz w:val="24"/>
        </w:rPr>
      </w:pPr>
    </w:p>
    <w:p>
      <w:pPr>
        <w:pStyle w:val="101"/>
        <w:ind w:firstLine="480"/>
        <w:rPr>
          <w:rFonts w:ascii="Times New Roman" w:hAnsi="Times New Roman"/>
          <w:sz w:val="24"/>
        </w:rPr>
      </w:pPr>
    </w:p>
    <w:p>
      <w:pPr>
        <w:pStyle w:val="101"/>
        <w:ind w:firstLine="480"/>
        <w:rPr>
          <w:rFonts w:ascii="Times New Roman" w:hAnsi="Times New Roman"/>
          <w:sz w:val="24"/>
        </w:rPr>
      </w:pPr>
    </w:p>
    <w:p>
      <w:pPr>
        <w:pStyle w:val="101"/>
        <w:ind w:firstLine="480"/>
        <w:rPr>
          <w:rFonts w:ascii="Times New Roman" w:hAnsi="Times New Roman"/>
          <w:sz w:val="24"/>
        </w:rPr>
      </w:pPr>
    </w:p>
    <w:p>
      <w:pPr>
        <w:pStyle w:val="101"/>
        <w:ind w:firstLine="480"/>
        <w:rPr>
          <w:rFonts w:ascii="Times New Roman" w:hAnsi="Times New Roman"/>
          <w:sz w:val="24"/>
        </w:rPr>
      </w:pPr>
    </w:p>
    <w:p>
      <w:pPr>
        <w:pStyle w:val="101"/>
        <w:ind w:firstLine="480"/>
        <w:rPr>
          <w:rFonts w:ascii="Times New Roman" w:hAnsi="Times New Roman"/>
          <w:sz w:val="24"/>
        </w:rPr>
      </w:pPr>
    </w:p>
    <w:bookmarkEnd w:id="149"/>
    <w:bookmarkEnd w:id="150"/>
    <w:bookmarkEnd w:id="180"/>
    <w:p>
      <w:pPr>
        <w:jc w:val="center"/>
        <w:rPr>
          <w:rFonts w:eastAsia="黑体"/>
          <w:b/>
          <w:sz w:val="32"/>
          <w:szCs w:val="32"/>
        </w:rPr>
      </w:pPr>
      <w:bookmarkStart w:id="181" w:name="_格式2__法定代表人授权书"/>
      <w:bookmarkEnd w:id="181"/>
    </w:p>
    <w:p>
      <w:pPr>
        <w:jc w:val="center"/>
        <w:rPr>
          <w:rFonts w:eastAsia="黑体"/>
          <w:b/>
          <w:sz w:val="32"/>
          <w:szCs w:val="32"/>
        </w:rPr>
      </w:pPr>
    </w:p>
    <w:p>
      <w:pPr>
        <w:rPr>
          <w:rFonts w:eastAsia="黑体"/>
          <w:b/>
          <w:sz w:val="32"/>
          <w:szCs w:val="32"/>
        </w:rPr>
      </w:pPr>
    </w:p>
    <w:p>
      <w:pPr>
        <w:rPr>
          <w:rFonts w:eastAsia="黑体"/>
          <w:b/>
          <w:sz w:val="32"/>
          <w:szCs w:val="32"/>
        </w:rPr>
      </w:pPr>
    </w:p>
    <w:p>
      <w:pPr>
        <w:jc w:val="center"/>
        <w:rPr>
          <w:rFonts w:cs="仿宋"/>
          <w:b/>
          <w:bCs/>
          <w:sz w:val="32"/>
          <w:szCs w:val="32"/>
        </w:rPr>
      </w:pPr>
    </w:p>
    <w:p>
      <w:pPr>
        <w:pStyle w:val="103"/>
      </w:pPr>
    </w:p>
    <w:p>
      <w:pPr>
        <w:jc w:val="center"/>
        <w:rPr>
          <w:rFonts w:cs="仿宋"/>
          <w:b/>
          <w:bCs/>
          <w:sz w:val="32"/>
          <w:szCs w:val="32"/>
        </w:rPr>
      </w:pPr>
      <w:r>
        <w:rPr>
          <w:rFonts w:hint="eastAsia" w:cs="仿宋"/>
          <w:b/>
          <w:bCs/>
          <w:sz w:val="32"/>
          <w:szCs w:val="32"/>
        </w:rPr>
        <w:t>质疑函范本</w:t>
      </w:r>
    </w:p>
    <w:p>
      <w:pPr>
        <w:adjustRightInd w:val="0"/>
        <w:snapToGrid w:val="0"/>
        <w:spacing w:beforeLines="100" w:line="360" w:lineRule="auto"/>
        <w:rPr>
          <w:rFonts w:cs="仿宋"/>
          <w:bCs/>
          <w:sz w:val="24"/>
          <w:szCs w:val="24"/>
        </w:rPr>
      </w:pPr>
      <w:r>
        <w:rPr>
          <w:rFonts w:hint="eastAsia" w:cs="仿宋"/>
          <w:bCs/>
          <w:sz w:val="24"/>
          <w:szCs w:val="24"/>
        </w:rPr>
        <w:t>一、质疑投标人基本信息</w:t>
      </w:r>
    </w:p>
    <w:p>
      <w:pPr>
        <w:adjustRightInd w:val="0"/>
        <w:snapToGrid w:val="0"/>
        <w:spacing w:line="360" w:lineRule="auto"/>
        <w:rPr>
          <w:rFonts w:cs="仿宋"/>
          <w:sz w:val="24"/>
          <w:szCs w:val="24"/>
          <w:u w:val="dotted"/>
        </w:rPr>
      </w:pPr>
      <w:r>
        <w:rPr>
          <w:rFonts w:hint="eastAsia" w:cs="仿宋"/>
          <w:sz w:val="24"/>
          <w:szCs w:val="24"/>
        </w:rPr>
        <w:t>质疑投标人：</w:t>
      </w:r>
      <w:r>
        <w:rPr>
          <w:rFonts w:hint="eastAsia" w:cs="仿宋"/>
          <w:sz w:val="24"/>
          <w:szCs w:val="24"/>
          <w:u w:val="dotted"/>
        </w:rPr>
        <w:t xml:space="preserve">                                                              </w:t>
      </w:r>
    </w:p>
    <w:p>
      <w:pPr>
        <w:adjustRightInd w:val="0"/>
        <w:snapToGrid w:val="0"/>
        <w:spacing w:line="360" w:lineRule="auto"/>
        <w:rPr>
          <w:rFonts w:cs="仿宋"/>
          <w:sz w:val="24"/>
          <w:szCs w:val="24"/>
        </w:rPr>
      </w:pPr>
      <w:r>
        <w:rPr>
          <w:rFonts w:hint="eastAsia" w:cs="仿宋"/>
          <w:sz w:val="24"/>
          <w:szCs w:val="24"/>
        </w:rPr>
        <w:t>地址：</w:t>
      </w:r>
      <w:r>
        <w:rPr>
          <w:rFonts w:hint="eastAsia" w:cs="仿宋"/>
          <w:sz w:val="24"/>
          <w:szCs w:val="24"/>
          <w:u w:val="dotted"/>
        </w:rPr>
        <w:t xml:space="preserve">                             </w:t>
      </w:r>
      <w:r>
        <w:rPr>
          <w:rFonts w:hint="eastAsia" w:cs="仿宋"/>
          <w:sz w:val="24"/>
          <w:szCs w:val="24"/>
        </w:rPr>
        <w:t>邮编：</w:t>
      </w:r>
      <w:r>
        <w:rPr>
          <w:rFonts w:hint="eastAsia" w:cs="仿宋"/>
          <w:sz w:val="24"/>
          <w:szCs w:val="24"/>
          <w:u w:val="dotted"/>
        </w:rPr>
        <w:t xml:space="preserve">                                    </w:t>
      </w:r>
    </w:p>
    <w:p>
      <w:pPr>
        <w:adjustRightInd w:val="0"/>
        <w:snapToGrid w:val="0"/>
        <w:spacing w:line="360" w:lineRule="auto"/>
        <w:rPr>
          <w:rFonts w:cs="仿宋"/>
          <w:sz w:val="24"/>
          <w:szCs w:val="24"/>
        </w:rPr>
      </w:pPr>
      <w:r>
        <w:rPr>
          <w:rFonts w:hint="eastAsia" w:cs="仿宋"/>
          <w:sz w:val="24"/>
          <w:szCs w:val="24"/>
        </w:rPr>
        <w:t>联系人：</w:t>
      </w:r>
      <w:r>
        <w:rPr>
          <w:rFonts w:hint="eastAsia" w:cs="仿宋"/>
          <w:sz w:val="24"/>
          <w:szCs w:val="24"/>
          <w:u w:val="dotted"/>
        </w:rPr>
        <w:t xml:space="preserve">                      </w:t>
      </w:r>
      <w:r>
        <w:rPr>
          <w:rFonts w:hint="eastAsia" w:cs="仿宋"/>
          <w:sz w:val="24"/>
          <w:szCs w:val="24"/>
        </w:rPr>
        <w:t>联系电话：</w:t>
      </w:r>
      <w:r>
        <w:rPr>
          <w:rFonts w:hint="eastAsia" w:cs="仿宋"/>
          <w:sz w:val="24"/>
          <w:szCs w:val="24"/>
          <w:u w:val="dotted"/>
        </w:rPr>
        <w:t xml:space="preserve">                                       </w:t>
      </w:r>
    </w:p>
    <w:p>
      <w:pPr>
        <w:adjustRightInd w:val="0"/>
        <w:snapToGrid w:val="0"/>
        <w:spacing w:line="360" w:lineRule="auto"/>
        <w:rPr>
          <w:rFonts w:cs="仿宋"/>
          <w:sz w:val="24"/>
          <w:szCs w:val="24"/>
          <w:u w:val="dotted"/>
        </w:rPr>
      </w:pPr>
      <w:r>
        <w:rPr>
          <w:rFonts w:hint="eastAsia" w:cs="仿宋"/>
          <w:sz w:val="24"/>
          <w:szCs w:val="24"/>
        </w:rPr>
        <w:t>授权代表：</w:t>
      </w:r>
      <w:r>
        <w:rPr>
          <w:rFonts w:hint="eastAsia" w:cs="仿宋"/>
          <w:sz w:val="24"/>
          <w:szCs w:val="24"/>
          <w:u w:val="dotted"/>
        </w:rPr>
        <w:t xml:space="preserve">                                                                 </w:t>
      </w:r>
    </w:p>
    <w:p>
      <w:pPr>
        <w:adjustRightInd w:val="0"/>
        <w:snapToGrid w:val="0"/>
        <w:spacing w:line="360" w:lineRule="auto"/>
        <w:rPr>
          <w:rFonts w:cs="仿宋"/>
          <w:sz w:val="24"/>
          <w:szCs w:val="24"/>
        </w:rPr>
      </w:pPr>
      <w:r>
        <w:rPr>
          <w:rFonts w:hint="eastAsia" w:cs="仿宋"/>
          <w:sz w:val="24"/>
          <w:szCs w:val="24"/>
        </w:rPr>
        <w:t>联系电话：</w:t>
      </w:r>
      <w:r>
        <w:rPr>
          <w:rFonts w:hint="eastAsia" w:cs="仿宋"/>
          <w:sz w:val="24"/>
          <w:szCs w:val="24"/>
          <w:u w:val="dotted"/>
        </w:rPr>
        <w:t xml:space="preserve">                                                                </w:t>
      </w:r>
    </w:p>
    <w:p>
      <w:pPr>
        <w:adjustRightInd w:val="0"/>
        <w:snapToGrid w:val="0"/>
        <w:spacing w:line="360" w:lineRule="auto"/>
        <w:rPr>
          <w:rFonts w:cs="仿宋"/>
          <w:sz w:val="24"/>
          <w:szCs w:val="24"/>
        </w:rPr>
      </w:pPr>
      <w:r>
        <w:rPr>
          <w:rFonts w:hint="eastAsia" w:cs="仿宋"/>
          <w:sz w:val="24"/>
          <w:szCs w:val="24"/>
        </w:rPr>
        <w:t>地址：</w:t>
      </w:r>
      <w:r>
        <w:rPr>
          <w:rFonts w:cs="仿宋"/>
          <w:sz w:val="24"/>
          <w:szCs w:val="24"/>
        </w:rPr>
        <w:t xml:space="preserve"> </w:t>
      </w:r>
      <w:r>
        <w:rPr>
          <w:rFonts w:hint="eastAsia" w:cs="仿宋"/>
          <w:sz w:val="24"/>
          <w:szCs w:val="24"/>
          <w:u w:val="dotted"/>
        </w:rPr>
        <w:t xml:space="preserve">                        </w:t>
      </w:r>
      <w:r>
        <w:rPr>
          <w:rFonts w:hint="eastAsia" w:cs="仿宋"/>
          <w:sz w:val="24"/>
          <w:szCs w:val="24"/>
        </w:rPr>
        <w:t>邮编：</w:t>
      </w:r>
      <w:r>
        <w:rPr>
          <w:rFonts w:hint="eastAsia" w:cs="仿宋"/>
          <w:sz w:val="24"/>
          <w:szCs w:val="24"/>
          <w:u w:val="dotted"/>
        </w:rPr>
        <w:t xml:space="preserve">                                     </w:t>
      </w:r>
    </w:p>
    <w:p>
      <w:pPr>
        <w:adjustRightInd w:val="0"/>
        <w:snapToGrid w:val="0"/>
        <w:spacing w:line="360" w:lineRule="auto"/>
        <w:rPr>
          <w:rFonts w:cs="仿宋"/>
          <w:bCs/>
          <w:sz w:val="24"/>
          <w:szCs w:val="24"/>
        </w:rPr>
      </w:pPr>
      <w:r>
        <w:rPr>
          <w:rFonts w:hint="eastAsia" w:cs="仿宋"/>
          <w:bCs/>
          <w:sz w:val="24"/>
          <w:szCs w:val="24"/>
        </w:rPr>
        <w:t>二、质疑项目基本情况</w:t>
      </w:r>
    </w:p>
    <w:p>
      <w:pPr>
        <w:adjustRightInd w:val="0"/>
        <w:snapToGrid w:val="0"/>
        <w:spacing w:line="360" w:lineRule="auto"/>
        <w:rPr>
          <w:rFonts w:cs="仿宋"/>
          <w:sz w:val="24"/>
          <w:szCs w:val="24"/>
        </w:rPr>
      </w:pPr>
      <w:r>
        <w:rPr>
          <w:rFonts w:hint="eastAsia" w:cs="仿宋"/>
          <w:sz w:val="24"/>
          <w:szCs w:val="24"/>
        </w:rPr>
        <w:t>质疑项目的名称：</w:t>
      </w:r>
      <w:r>
        <w:rPr>
          <w:rFonts w:hint="eastAsia" w:cs="仿宋"/>
          <w:sz w:val="24"/>
          <w:szCs w:val="24"/>
          <w:u w:val="dotted"/>
        </w:rPr>
        <w:t xml:space="preserve">                                                          </w:t>
      </w:r>
    </w:p>
    <w:p>
      <w:pPr>
        <w:adjustRightInd w:val="0"/>
        <w:snapToGrid w:val="0"/>
        <w:spacing w:line="360" w:lineRule="auto"/>
        <w:rPr>
          <w:rFonts w:cs="仿宋"/>
          <w:sz w:val="24"/>
          <w:szCs w:val="24"/>
        </w:rPr>
      </w:pPr>
      <w:r>
        <w:rPr>
          <w:rFonts w:hint="eastAsia" w:cs="仿宋"/>
          <w:sz w:val="24"/>
          <w:szCs w:val="24"/>
        </w:rPr>
        <w:t>质疑项目的编号：</w:t>
      </w:r>
      <w:r>
        <w:rPr>
          <w:rFonts w:hint="eastAsia" w:cs="仿宋"/>
          <w:sz w:val="24"/>
          <w:szCs w:val="24"/>
          <w:u w:val="dotted"/>
        </w:rPr>
        <w:t xml:space="preserve">                         </w:t>
      </w:r>
      <w:r>
        <w:rPr>
          <w:rFonts w:hint="eastAsia" w:cs="仿宋"/>
          <w:sz w:val="24"/>
          <w:szCs w:val="24"/>
        </w:rPr>
        <w:t>包号：</w:t>
      </w:r>
      <w:r>
        <w:rPr>
          <w:rFonts w:hint="eastAsia" w:cs="仿宋"/>
          <w:sz w:val="24"/>
          <w:szCs w:val="24"/>
          <w:u w:val="dotted"/>
        </w:rPr>
        <w:t xml:space="preserve">                           </w:t>
      </w:r>
    </w:p>
    <w:p>
      <w:pPr>
        <w:adjustRightInd w:val="0"/>
        <w:snapToGrid w:val="0"/>
        <w:spacing w:line="360" w:lineRule="auto"/>
        <w:rPr>
          <w:rFonts w:cs="仿宋"/>
          <w:sz w:val="24"/>
          <w:szCs w:val="24"/>
          <w:u w:val="dotted"/>
        </w:rPr>
      </w:pPr>
      <w:r>
        <w:rPr>
          <w:rFonts w:hint="eastAsia" w:cs="仿宋"/>
          <w:sz w:val="24"/>
          <w:szCs w:val="24"/>
        </w:rPr>
        <w:t>采购人名称：</w:t>
      </w:r>
      <w:r>
        <w:rPr>
          <w:rFonts w:hint="eastAsia" w:cs="仿宋"/>
          <w:sz w:val="24"/>
          <w:szCs w:val="24"/>
          <w:u w:val="dotted"/>
        </w:rPr>
        <w:t xml:space="preserve">                                                              </w:t>
      </w:r>
    </w:p>
    <w:p>
      <w:pPr>
        <w:adjustRightInd w:val="0"/>
        <w:snapToGrid w:val="0"/>
        <w:spacing w:line="360" w:lineRule="auto"/>
        <w:rPr>
          <w:rFonts w:cs="仿宋"/>
          <w:sz w:val="24"/>
          <w:szCs w:val="24"/>
        </w:rPr>
      </w:pPr>
      <w:r>
        <w:rPr>
          <w:rFonts w:hint="eastAsia" w:cs="仿宋"/>
          <w:sz w:val="24"/>
          <w:szCs w:val="24"/>
        </w:rPr>
        <w:t>采购文件获取日期：</w:t>
      </w:r>
      <w:r>
        <w:rPr>
          <w:rFonts w:hint="eastAsia" w:cs="仿宋"/>
          <w:sz w:val="24"/>
          <w:szCs w:val="24"/>
          <w:u w:val="dotted"/>
        </w:rPr>
        <w:t xml:space="preserve">                                                        </w:t>
      </w:r>
    </w:p>
    <w:p>
      <w:pPr>
        <w:adjustRightInd w:val="0"/>
        <w:snapToGrid w:val="0"/>
        <w:spacing w:line="360" w:lineRule="auto"/>
        <w:rPr>
          <w:rFonts w:cs="仿宋"/>
          <w:bCs/>
          <w:sz w:val="24"/>
          <w:szCs w:val="24"/>
        </w:rPr>
      </w:pPr>
      <w:r>
        <w:rPr>
          <w:rFonts w:hint="eastAsia" w:cs="仿宋"/>
          <w:bCs/>
          <w:sz w:val="24"/>
          <w:szCs w:val="24"/>
        </w:rPr>
        <w:t>三、质疑事项具体内容</w:t>
      </w:r>
    </w:p>
    <w:p>
      <w:pPr>
        <w:adjustRightInd w:val="0"/>
        <w:snapToGrid w:val="0"/>
        <w:spacing w:line="360" w:lineRule="auto"/>
        <w:rPr>
          <w:rFonts w:cs="仿宋"/>
          <w:sz w:val="24"/>
          <w:szCs w:val="24"/>
          <w:u w:val="dotted"/>
        </w:rPr>
      </w:pPr>
      <w:r>
        <w:rPr>
          <w:rFonts w:hint="eastAsia" w:cs="仿宋"/>
          <w:sz w:val="24"/>
          <w:szCs w:val="24"/>
        </w:rPr>
        <w:t>质疑事项1：</w:t>
      </w:r>
      <w:r>
        <w:rPr>
          <w:rFonts w:hint="eastAsia" w:cs="仿宋"/>
          <w:sz w:val="24"/>
          <w:szCs w:val="24"/>
          <w:u w:val="dotted"/>
        </w:rPr>
        <w:t xml:space="preserve">                                                              </w:t>
      </w:r>
    </w:p>
    <w:p>
      <w:pPr>
        <w:adjustRightInd w:val="0"/>
        <w:snapToGrid w:val="0"/>
        <w:spacing w:line="360" w:lineRule="auto"/>
        <w:rPr>
          <w:rFonts w:cs="仿宋"/>
          <w:sz w:val="24"/>
          <w:szCs w:val="24"/>
          <w:u w:val="dotted"/>
        </w:rPr>
      </w:pPr>
      <w:r>
        <w:rPr>
          <w:rFonts w:hint="eastAsia" w:cs="仿宋"/>
          <w:sz w:val="24"/>
          <w:szCs w:val="24"/>
        </w:rPr>
        <w:t>事实依据：</w:t>
      </w:r>
      <w:r>
        <w:rPr>
          <w:rFonts w:hint="eastAsia" w:cs="仿宋"/>
          <w:sz w:val="24"/>
          <w:szCs w:val="24"/>
          <w:u w:val="dotted"/>
        </w:rPr>
        <w:t xml:space="preserve">                                                                </w:t>
      </w:r>
    </w:p>
    <w:p>
      <w:pPr>
        <w:adjustRightInd w:val="0"/>
        <w:snapToGrid w:val="0"/>
        <w:spacing w:line="360" w:lineRule="auto"/>
        <w:rPr>
          <w:rFonts w:cs="仿宋"/>
          <w:sz w:val="24"/>
          <w:szCs w:val="24"/>
        </w:rPr>
      </w:pPr>
      <w:r>
        <w:rPr>
          <w:rFonts w:hint="eastAsia" w:cs="仿宋"/>
          <w:sz w:val="24"/>
          <w:szCs w:val="24"/>
          <w:u w:val="dotted"/>
        </w:rPr>
        <w:t xml:space="preserve">                                                                           </w:t>
      </w:r>
    </w:p>
    <w:p>
      <w:pPr>
        <w:adjustRightInd w:val="0"/>
        <w:snapToGrid w:val="0"/>
        <w:spacing w:line="360" w:lineRule="auto"/>
        <w:rPr>
          <w:rFonts w:cs="仿宋"/>
          <w:sz w:val="24"/>
          <w:szCs w:val="24"/>
          <w:u w:val="dotted"/>
        </w:rPr>
      </w:pPr>
      <w:r>
        <w:rPr>
          <w:rFonts w:hint="eastAsia" w:cs="仿宋"/>
          <w:sz w:val="24"/>
          <w:szCs w:val="24"/>
        </w:rPr>
        <w:t>法律依据：</w:t>
      </w:r>
      <w:r>
        <w:rPr>
          <w:rFonts w:hint="eastAsia" w:cs="仿宋"/>
          <w:sz w:val="24"/>
          <w:szCs w:val="24"/>
          <w:u w:val="dotted"/>
        </w:rPr>
        <w:t xml:space="preserve">                                                                 </w:t>
      </w:r>
    </w:p>
    <w:p>
      <w:pPr>
        <w:adjustRightInd w:val="0"/>
        <w:snapToGrid w:val="0"/>
        <w:spacing w:line="360" w:lineRule="auto"/>
        <w:rPr>
          <w:rFonts w:cs="仿宋"/>
          <w:sz w:val="24"/>
          <w:szCs w:val="24"/>
          <w:u w:val="dotted"/>
        </w:rPr>
      </w:pPr>
      <w:r>
        <w:rPr>
          <w:rFonts w:hint="eastAsia" w:cs="仿宋"/>
          <w:sz w:val="24"/>
          <w:szCs w:val="24"/>
          <w:u w:val="dotted"/>
        </w:rPr>
        <w:t xml:space="preserve">                                                                           </w:t>
      </w:r>
    </w:p>
    <w:p>
      <w:pPr>
        <w:adjustRightInd w:val="0"/>
        <w:snapToGrid w:val="0"/>
        <w:spacing w:line="360" w:lineRule="auto"/>
        <w:rPr>
          <w:rFonts w:cs="仿宋"/>
          <w:sz w:val="24"/>
          <w:szCs w:val="24"/>
          <w:u w:val="dotted"/>
        </w:rPr>
      </w:pPr>
      <w:r>
        <w:rPr>
          <w:rFonts w:hint="eastAsia" w:cs="仿宋"/>
          <w:sz w:val="24"/>
          <w:szCs w:val="24"/>
        </w:rPr>
        <w:t>质疑事项2</w:t>
      </w:r>
    </w:p>
    <w:p>
      <w:pPr>
        <w:adjustRightInd w:val="0"/>
        <w:snapToGrid w:val="0"/>
        <w:spacing w:line="360" w:lineRule="auto"/>
        <w:rPr>
          <w:rFonts w:cs="仿宋"/>
          <w:sz w:val="24"/>
          <w:szCs w:val="24"/>
        </w:rPr>
      </w:pPr>
      <w:r>
        <w:rPr>
          <w:rFonts w:hint="eastAsia" w:cs="仿宋"/>
          <w:sz w:val="24"/>
          <w:szCs w:val="24"/>
        </w:rPr>
        <w:t>……</w:t>
      </w:r>
    </w:p>
    <w:p>
      <w:pPr>
        <w:adjustRightInd w:val="0"/>
        <w:snapToGrid w:val="0"/>
        <w:spacing w:line="360" w:lineRule="auto"/>
        <w:rPr>
          <w:rFonts w:cs="仿宋"/>
          <w:bCs/>
          <w:sz w:val="24"/>
          <w:szCs w:val="24"/>
        </w:rPr>
      </w:pPr>
      <w:r>
        <w:rPr>
          <w:rFonts w:hint="eastAsia" w:cs="仿宋"/>
          <w:bCs/>
          <w:sz w:val="24"/>
          <w:szCs w:val="24"/>
        </w:rPr>
        <w:t>四、与质疑事项相关的质疑请求</w:t>
      </w:r>
    </w:p>
    <w:p>
      <w:pPr>
        <w:adjustRightInd w:val="0"/>
        <w:snapToGrid w:val="0"/>
        <w:spacing w:line="360" w:lineRule="auto"/>
        <w:rPr>
          <w:rFonts w:cs="仿宋"/>
          <w:sz w:val="24"/>
          <w:szCs w:val="24"/>
          <w:u w:val="dotted"/>
        </w:rPr>
      </w:pPr>
      <w:r>
        <w:rPr>
          <w:rFonts w:hint="eastAsia" w:cs="仿宋"/>
          <w:sz w:val="24"/>
          <w:szCs w:val="24"/>
        </w:rPr>
        <w:t>请求：</w:t>
      </w:r>
      <w:r>
        <w:rPr>
          <w:rFonts w:hint="eastAsia" w:cs="仿宋"/>
          <w:sz w:val="24"/>
          <w:szCs w:val="24"/>
          <w:u w:val="dotted"/>
        </w:rPr>
        <w:t xml:space="preserve">                                                                     </w:t>
      </w:r>
    </w:p>
    <w:p>
      <w:pPr>
        <w:rPr>
          <w:sz w:val="24"/>
          <w:szCs w:val="24"/>
        </w:rPr>
      </w:pPr>
      <w:r>
        <w:rPr>
          <w:rFonts w:hint="eastAsia"/>
          <w:sz w:val="24"/>
          <w:szCs w:val="24"/>
        </w:rPr>
        <w:t xml:space="preserve">签字(签章)：                   公章：                      </w:t>
      </w:r>
    </w:p>
    <w:p>
      <w:pPr>
        <w:rPr>
          <w:sz w:val="24"/>
          <w:szCs w:val="24"/>
        </w:rPr>
      </w:pPr>
      <w:r>
        <w:rPr>
          <w:rFonts w:hint="eastAsia"/>
          <w:sz w:val="24"/>
          <w:szCs w:val="24"/>
        </w:rPr>
        <w:t xml:space="preserve">日期：    </w:t>
      </w:r>
    </w:p>
    <w:p>
      <w:pPr>
        <w:spacing w:line="400" w:lineRule="exact"/>
        <w:rPr>
          <w:b/>
          <w:sz w:val="24"/>
          <w:szCs w:val="24"/>
        </w:rPr>
      </w:pPr>
      <w:r>
        <w:rPr>
          <w:rFonts w:hint="eastAsia"/>
          <w:b/>
          <w:sz w:val="24"/>
          <w:szCs w:val="24"/>
        </w:rPr>
        <w:t>质疑函制作说明：</w:t>
      </w:r>
    </w:p>
    <w:p>
      <w:pPr>
        <w:widowControl/>
        <w:spacing w:line="400" w:lineRule="exact"/>
        <w:ind w:firstLine="480" w:firstLineChars="200"/>
        <w:jc w:val="left"/>
        <w:rPr>
          <w:sz w:val="24"/>
          <w:szCs w:val="24"/>
        </w:rPr>
      </w:pPr>
      <w:r>
        <w:rPr>
          <w:rFonts w:hint="eastAsia"/>
          <w:sz w:val="24"/>
          <w:szCs w:val="24"/>
        </w:rPr>
        <w:t>1.投标人提出质疑时，应提交质疑函和必要的证明材料。</w:t>
      </w:r>
    </w:p>
    <w:p>
      <w:pPr>
        <w:widowControl/>
        <w:spacing w:line="400" w:lineRule="exact"/>
        <w:ind w:firstLine="480" w:firstLineChars="200"/>
        <w:jc w:val="left"/>
        <w:rPr>
          <w:sz w:val="24"/>
          <w:szCs w:val="24"/>
        </w:rPr>
      </w:pPr>
      <w:r>
        <w:rPr>
          <w:rFonts w:hint="eastAsia"/>
          <w:sz w:val="24"/>
          <w:szCs w:val="24"/>
        </w:rPr>
        <w:t>2.质疑投标人若委托代理人进行质疑的，质疑函应按要求列明“授权代表”的有关内容，并在附件中提交由质疑</w:t>
      </w:r>
      <w:r>
        <w:rPr>
          <w:rFonts w:hint="eastAsia" w:cs="宋体"/>
          <w:kern w:val="0"/>
          <w:sz w:val="24"/>
          <w:szCs w:val="24"/>
        </w:rPr>
        <w:t>投标人签署的授权委托书。授权委托书应载明代理人的姓名或者名称、代理事项、具体权限、期限和相关事项。</w:t>
      </w:r>
    </w:p>
    <w:p>
      <w:pPr>
        <w:widowControl/>
        <w:spacing w:line="400" w:lineRule="exact"/>
        <w:ind w:firstLine="480" w:firstLineChars="200"/>
        <w:jc w:val="left"/>
        <w:rPr>
          <w:sz w:val="24"/>
          <w:szCs w:val="24"/>
        </w:rPr>
      </w:pPr>
      <w:r>
        <w:rPr>
          <w:rFonts w:hint="eastAsia"/>
          <w:sz w:val="24"/>
          <w:szCs w:val="24"/>
        </w:rPr>
        <w:t>3.质疑投标人若对项目的某一分包进行质疑，质疑函中应列明具体分包号。</w:t>
      </w:r>
    </w:p>
    <w:p>
      <w:pPr>
        <w:widowControl/>
        <w:spacing w:line="400" w:lineRule="exact"/>
        <w:ind w:firstLine="480" w:firstLineChars="200"/>
        <w:jc w:val="left"/>
        <w:rPr>
          <w:sz w:val="24"/>
          <w:szCs w:val="24"/>
        </w:rPr>
      </w:pPr>
      <w:r>
        <w:rPr>
          <w:rFonts w:hint="eastAsia"/>
          <w:sz w:val="24"/>
          <w:szCs w:val="24"/>
        </w:rPr>
        <w:t>4.质疑函的质疑事项应具体、明确，并有必要的事实依据和法律依据。</w:t>
      </w:r>
    </w:p>
    <w:p>
      <w:pPr>
        <w:widowControl/>
        <w:spacing w:line="400" w:lineRule="exact"/>
        <w:ind w:firstLine="480" w:firstLineChars="200"/>
        <w:jc w:val="left"/>
        <w:rPr>
          <w:sz w:val="24"/>
          <w:szCs w:val="24"/>
        </w:rPr>
      </w:pPr>
      <w:r>
        <w:rPr>
          <w:rFonts w:hint="eastAsia"/>
          <w:sz w:val="24"/>
          <w:szCs w:val="24"/>
        </w:rPr>
        <w:t>5.质疑函的质疑请求应与质疑事项相关。</w:t>
      </w:r>
    </w:p>
    <w:p>
      <w:pPr>
        <w:widowControl/>
        <w:spacing w:line="400" w:lineRule="exact"/>
        <w:ind w:firstLine="480" w:firstLineChars="200"/>
        <w:jc w:val="left"/>
        <w:rPr>
          <w:sz w:val="24"/>
          <w:szCs w:val="24"/>
        </w:rPr>
      </w:pPr>
      <w:r>
        <w:rPr>
          <w:rFonts w:hint="eastAsia"/>
          <w:sz w:val="24"/>
          <w:szCs w:val="24"/>
        </w:rPr>
        <w:t>6.质疑投标人为自然人的，质疑函应由本人签字；质疑投标人为法人或者其他组织的，质疑函应由法定代表人、主要负责人，或者其授权代表签字或者盖章，并加盖公章。</w:t>
      </w:r>
    </w:p>
    <w:p>
      <w:pPr>
        <w:pStyle w:val="5"/>
        <w:rPr>
          <w:sz w:val="24"/>
          <w:szCs w:val="24"/>
        </w:rPr>
      </w:pPr>
    </w:p>
    <w:p>
      <w:pPr>
        <w:pStyle w:val="5"/>
        <w:rPr>
          <w:sz w:val="24"/>
          <w:szCs w:val="24"/>
        </w:rPr>
      </w:pPr>
    </w:p>
    <w:p/>
    <w:sectPr>
      <w:pgSz w:w="11906" w:h="16838"/>
      <w:pgMar w:top="1418" w:right="1588" w:bottom="1418" w:left="1365" w:header="851" w:footer="907" w:gutter="0"/>
      <w:cols w:space="720" w:num="1"/>
      <w:titlePg/>
      <w:docGrid w:type="lines" w:linePitch="29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embedRegular r:id="rId1" w:fontKey="{AF9CDC38-8023-41C6-8941-8BD64FE3C59D}"/>
  </w:font>
  <w:font w:name="Arial">
    <w:panose1 w:val="020B0604020202020204"/>
    <w:charset w:val="01"/>
    <w:family w:val="swiss"/>
    <w:pitch w:val="default"/>
    <w:sig w:usb0="00007A87" w:usb1="80000000" w:usb2="00000008" w:usb3="00000000" w:csb0="400001FF" w:csb1="FFFF0000"/>
    <w:embedRegular r:id="rId2" w:fontKey="{1A9AD98B-7DD8-48EC-92D1-CA85C60F0937}"/>
  </w:font>
  <w:font w:name="黑体">
    <w:panose1 w:val="02010600030101010101"/>
    <w:charset w:val="86"/>
    <w:family w:val="auto"/>
    <w:pitch w:val="default"/>
    <w:sig w:usb0="00000001" w:usb1="080E0000" w:usb2="00000000" w:usb3="00000000" w:csb0="00040000" w:csb1="00000000"/>
    <w:embedRegular r:id="rId3" w:fontKey="{CD053ADA-67D9-4B30-BBD8-42C8BE6E1B9F}"/>
  </w:font>
  <w:font w:name="Courier New">
    <w:panose1 w:val="02070309020205020404"/>
    <w:charset w:val="01"/>
    <w:family w:val="modern"/>
    <w:pitch w:val="default"/>
    <w:sig w:usb0="00007A87" w:usb1="80000000" w:usb2="00000008" w:usb3="00000000" w:csb0="400001FF" w:csb1="FFFF0000"/>
    <w:embedRegular r:id="rId4" w:fontKey="{1217E9C6-8770-4694-B62A-262BAC582D39}"/>
  </w:font>
  <w:font w:name="Symbol">
    <w:panose1 w:val="05050102010706020507"/>
    <w:charset w:val="02"/>
    <w:family w:val="roman"/>
    <w:pitch w:val="default"/>
    <w:sig w:usb0="00000000" w:usb1="00000000" w:usb2="00000000" w:usb3="00000000" w:csb0="80000000" w:csb1="00000000"/>
    <w:embedRegular r:id="rId5" w:fontKey="{140F93C1-414A-449D-94F2-9F5FBAD9A62E}"/>
  </w:font>
  <w:font w:name="Calibri">
    <w:panose1 w:val="020F0502020204030204"/>
    <w:charset w:val="00"/>
    <w:family w:val="swiss"/>
    <w:pitch w:val="default"/>
    <w:sig w:usb0="A00002EF" w:usb1="4000207B" w:usb2="00000000" w:usb3="00000000" w:csb0="2000009F" w:csb1="00000000"/>
    <w:embedRegular r:id="rId6" w:fontKey="{7B6DF9CF-266C-4C88-B347-4E4D630F374B}"/>
  </w:font>
  <w:font w:name="楷体_GB2312">
    <w:panose1 w:val="0201060903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B53E9004-FD3D-4B9C-9951-80D23A720ECD}"/>
  </w:font>
  <w:font w:name="Cambria">
    <w:panose1 w:val="02040503050406030204"/>
    <w:charset w:val="00"/>
    <w:family w:val="roman"/>
    <w:pitch w:val="default"/>
    <w:sig w:usb0="A00002EF" w:usb1="4000004B" w:usb2="00000000" w:usb3="00000000" w:csb0="2000009F" w:csb1="00000000"/>
    <w:embedRegular r:id="rId8" w:fontKey="{3BD59FCD-8716-4B4A-9AC6-5ED1A63937BA}"/>
  </w:font>
  <w:font w:name="方正黑体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00000287" w:usb1="00000000" w:usb2="00000000" w:usb3="00000000" w:csb0="2000019F" w:csb1="00000000"/>
    <w:embedRegular r:id="rId9" w:fontKey="{1C13C28F-7B3F-4976-845C-F1CDB3C716DA}"/>
  </w:font>
  <w:font w:name="Tahoma">
    <w:panose1 w:val="020B0604030504040204"/>
    <w:charset w:val="00"/>
    <w:family w:val="swiss"/>
    <w:pitch w:val="default"/>
    <w:sig w:usb0="61007A87" w:usb1="80000000" w:usb2="00000008" w:usb3="00000000" w:csb0="200101FF" w:csb1="20280000"/>
    <w:embedRegular r:id="rId10" w:fontKey="{2E9A88AC-0177-43E6-8304-26C371D83194}"/>
  </w:font>
  <w:font w:name="方正小标宋_GBK">
    <w:panose1 w:val="03000509000000000000"/>
    <w:charset w:val="86"/>
    <w:family w:val="script"/>
    <w:pitch w:val="default"/>
    <w:sig w:usb0="00000001" w:usb1="080E0000" w:usb2="00000000" w:usb3="00000000" w:csb0="00040000" w:csb1="00000000"/>
    <w:embedRegular r:id="rId11" w:fontKey="{2E6B784F-08B6-41CF-A4BA-F0D16BE00D63}"/>
  </w:font>
  <w:font w:name="Arial Unicode MS">
    <w:panose1 w:val="020B0604020202020204"/>
    <w:charset w:val="86"/>
    <w:family w:val="roman"/>
    <w:pitch w:val="default"/>
    <w:sig w:usb0="FFFFFFFF" w:usb1="E9FFFFFF" w:usb2="0000003F" w:usb3="00000000" w:csb0="603F01FF" w:csb1="FFFF0000"/>
  </w:font>
  <w:font w:name="方正仿宋_GBK">
    <w:panose1 w:val="03000509000000000000"/>
    <w:charset w:val="86"/>
    <w:family w:val="script"/>
    <w:pitch w:val="default"/>
    <w:sig w:usb0="00000001" w:usb1="080E0000" w:usb2="00000000" w:usb3="00000000" w:csb0="00040000" w:csb1="00000000"/>
    <w:embedRegular r:id="rId12" w:fontKey="{385180B1-1D09-4D82-B9CE-6AF029183CDF}"/>
  </w:font>
  <w:font w:name="方正仿宋_GB2312">
    <w:panose1 w:val="02000000000000000000"/>
    <w:charset w:val="86"/>
    <w:family w:val="auto"/>
    <w:pitch w:val="default"/>
    <w:sig w:usb0="A00002BF" w:usb1="184F6CFA" w:usb2="00000012" w:usb3="00000000" w:csb0="00040001" w:csb1="00000000"/>
    <w:embedRegular r:id="rId13" w:fontKey="{A0077B4E-B0AE-4067-9697-FD00A70BD2B5}"/>
  </w:font>
  <w:font w:name="仿宋">
    <w:panose1 w:val="02010609060101010101"/>
    <w:charset w:val="86"/>
    <w:family w:val="modern"/>
    <w:pitch w:val="default"/>
    <w:sig w:usb0="00000000" w:usb1="00000000" w:usb2="00000000" w:usb3="00000000" w:csb0="00000000" w:csb1="00000000"/>
    <w:embedRegular r:id="rId14" w:fontKey="{0D145B25-8532-425B-8D8E-E61F43B3E3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b/>
        <w:i/>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21</w:t>
                    </w:r>
                    <w:r>
                      <w:fldChar w:fldCharType="end"/>
                    </w:r>
                  </w:p>
                </w:txbxContent>
              </v:textbox>
            </v:shape>
          </w:pict>
        </mc:Fallback>
      </mc:AlternateContent>
    </w:r>
    <w:r>
      <w:rPr>
        <w:b/>
        <w:i/>
        <w:kern w:val="0"/>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4D56"/>
    <w:multiLevelType w:val="singleLevel"/>
    <w:tmpl w:val="06784D56"/>
    <w:lvl w:ilvl="0" w:tentative="0">
      <w:start w:val="1"/>
      <w:numFmt w:val="upperLetter"/>
      <w:pStyle w:val="99"/>
      <w:lvlText w:val="附录%1."/>
      <w:lvlJc w:val="left"/>
      <w:pPr>
        <w:tabs>
          <w:tab w:val="left" w:pos="907"/>
        </w:tabs>
        <w:ind w:left="907" w:hanging="907"/>
      </w:pPr>
      <w:rPr>
        <w:rFonts w:hint="eastAsia"/>
      </w:rPr>
    </w:lvl>
  </w:abstractNum>
  <w:abstractNum w:abstractNumId="1">
    <w:nsid w:val="420C153B"/>
    <w:multiLevelType w:val="multilevel"/>
    <w:tmpl w:val="420C153B"/>
    <w:lvl w:ilvl="0" w:tentative="0">
      <w:start w:val="1"/>
      <w:numFmt w:val="decimal"/>
      <w:pStyle w:val="183"/>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5C7E0EE5"/>
    <w:multiLevelType w:val="multilevel"/>
    <w:tmpl w:val="5C7E0EE5"/>
    <w:lvl w:ilvl="0" w:tentative="0">
      <w:start w:val="1"/>
      <w:numFmt w:val="chineseCountingThousand"/>
      <w:suff w:val="nothing"/>
      <w:lvlText w:val="第%1章 "/>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suff w:val="nothing"/>
      <w:lvlText w:val="%2.%3 "/>
      <w:lvlJc w:val="left"/>
      <w:pPr>
        <w:ind w:left="0" w:firstLine="0"/>
      </w:pPr>
      <w:rPr>
        <w:rFonts w:hint="eastAsia"/>
      </w:rPr>
    </w:lvl>
    <w:lvl w:ilvl="3" w:tentative="0">
      <w:start w:val="1"/>
      <w:numFmt w:val="decimal"/>
      <w:suff w:val="nothing"/>
      <w:lvlText w:val="%2.%3.%4 "/>
      <w:lvlJc w:val="left"/>
      <w:pPr>
        <w:ind w:left="0" w:firstLine="0"/>
      </w:pPr>
      <w:rPr>
        <w:rFonts w:hint="eastAsia"/>
      </w:rPr>
    </w:lvl>
    <w:lvl w:ilvl="4" w:tentative="0">
      <w:start w:val="1"/>
      <w:numFmt w:val="decimal"/>
      <w:suff w:val="nothing"/>
      <w:lvlText w:val="%2.%3.%4.%5 "/>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3">
    <w:nsid w:val="7EAF525E"/>
    <w:multiLevelType w:val="singleLevel"/>
    <w:tmpl w:val="7EAF525E"/>
    <w:lvl w:ilvl="0" w:tentative="0">
      <w:start w:val="2"/>
      <w:numFmt w:val="chineseCounting"/>
      <w:suff w:val="nothing"/>
      <w:lvlText w:val="（%1）"/>
      <w:lvlJc w:val="left"/>
      <w:rPr>
        <w:rFonts w:hint="eastAsia"/>
      </w:rPr>
    </w:lvl>
  </w:abstractNum>
  <w:abstractNum w:abstractNumId="4">
    <w:nsid w:val="7EAF525F"/>
    <w:multiLevelType w:val="singleLevel"/>
    <w:tmpl w:val="7EAF525F"/>
    <w:lvl w:ilvl="0" w:tentative="0">
      <w:start w:val="3"/>
      <w:numFmt w:val="chineseCounting"/>
      <w:suff w:val="nothing"/>
      <w:lvlText w:val="%1、"/>
      <w:lvlJc w:val="left"/>
      <w:pPr>
        <w:ind w:left="120" w:firstLine="0"/>
      </w:pPr>
      <w:rPr>
        <w:rFonts w:hint="eastAsia"/>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2MjIzNDY3YzIxMWZkNjZjMDcyMWFhYmNkYmM5YTcifQ=="/>
    <w:docVar w:name="KGWebUrl" w:val="https://www.ccgp-jiangsu.gov.cn:5009/zfcgzx/OfficeServer"/>
  </w:docVars>
  <w:rsids>
    <w:rsidRoot w:val="00917B7E"/>
    <w:rsid w:val="000863F7"/>
    <w:rsid w:val="000B532B"/>
    <w:rsid w:val="000B6483"/>
    <w:rsid w:val="000D49F1"/>
    <w:rsid w:val="000F1FF1"/>
    <w:rsid w:val="00112857"/>
    <w:rsid w:val="0017377E"/>
    <w:rsid w:val="00173BBA"/>
    <w:rsid w:val="001F2A0C"/>
    <w:rsid w:val="0021550F"/>
    <w:rsid w:val="00302849"/>
    <w:rsid w:val="00376175"/>
    <w:rsid w:val="00391A7F"/>
    <w:rsid w:val="003A2532"/>
    <w:rsid w:val="00401158"/>
    <w:rsid w:val="00452B3C"/>
    <w:rsid w:val="004A6DCD"/>
    <w:rsid w:val="00535D61"/>
    <w:rsid w:val="00560B6B"/>
    <w:rsid w:val="0059643A"/>
    <w:rsid w:val="005D5549"/>
    <w:rsid w:val="00601B5E"/>
    <w:rsid w:val="006400C0"/>
    <w:rsid w:val="006657D7"/>
    <w:rsid w:val="006949FE"/>
    <w:rsid w:val="006E172B"/>
    <w:rsid w:val="007632D4"/>
    <w:rsid w:val="007E5C10"/>
    <w:rsid w:val="00917B7E"/>
    <w:rsid w:val="00917E65"/>
    <w:rsid w:val="00A44262"/>
    <w:rsid w:val="00A511CB"/>
    <w:rsid w:val="00AD3177"/>
    <w:rsid w:val="00B21BE5"/>
    <w:rsid w:val="00B678E9"/>
    <w:rsid w:val="00CA4912"/>
    <w:rsid w:val="00CB2CC1"/>
    <w:rsid w:val="00CC3393"/>
    <w:rsid w:val="00DA4090"/>
    <w:rsid w:val="00DD63F4"/>
    <w:rsid w:val="00DE14F6"/>
    <w:rsid w:val="00EA6CC8"/>
    <w:rsid w:val="00F2712D"/>
    <w:rsid w:val="00F6146C"/>
    <w:rsid w:val="03710EBC"/>
    <w:rsid w:val="03E21091"/>
    <w:rsid w:val="05412745"/>
    <w:rsid w:val="06953197"/>
    <w:rsid w:val="07B616F6"/>
    <w:rsid w:val="07C23ADD"/>
    <w:rsid w:val="09A17C56"/>
    <w:rsid w:val="0A2F1EA3"/>
    <w:rsid w:val="0A510749"/>
    <w:rsid w:val="0A64315D"/>
    <w:rsid w:val="0AA02D6C"/>
    <w:rsid w:val="0E30761D"/>
    <w:rsid w:val="0F9369E6"/>
    <w:rsid w:val="11A74D25"/>
    <w:rsid w:val="14D40EDF"/>
    <w:rsid w:val="156165DB"/>
    <w:rsid w:val="172203ED"/>
    <w:rsid w:val="17822B02"/>
    <w:rsid w:val="17D71AAD"/>
    <w:rsid w:val="1A3C282C"/>
    <w:rsid w:val="1AA7233C"/>
    <w:rsid w:val="1B146233"/>
    <w:rsid w:val="1B530684"/>
    <w:rsid w:val="1D7B2C2B"/>
    <w:rsid w:val="1E065E8C"/>
    <w:rsid w:val="20116249"/>
    <w:rsid w:val="2090525F"/>
    <w:rsid w:val="20CE712B"/>
    <w:rsid w:val="20E377A3"/>
    <w:rsid w:val="22B555AB"/>
    <w:rsid w:val="27173F3F"/>
    <w:rsid w:val="273C4D37"/>
    <w:rsid w:val="28924EE2"/>
    <w:rsid w:val="2A316360"/>
    <w:rsid w:val="2D801094"/>
    <w:rsid w:val="2D990033"/>
    <w:rsid w:val="2DD80439"/>
    <w:rsid w:val="2E09474D"/>
    <w:rsid w:val="2E5C1E3C"/>
    <w:rsid w:val="2FCA6328"/>
    <w:rsid w:val="2FF76103"/>
    <w:rsid w:val="30453BC9"/>
    <w:rsid w:val="312347B3"/>
    <w:rsid w:val="351878DC"/>
    <w:rsid w:val="369F60CB"/>
    <w:rsid w:val="3733280A"/>
    <w:rsid w:val="37716954"/>
    <w:rsid w:val="3C797AF3"/>
    <w:rsid w:val="3D3B2FFA"/>
    <w:rsid w:val="3D417C86"/>
    <w:rsid w:val="3F084847"/>
    <w:rsid w:val="3F563668"/>
    <w:rsid w:val="402C1135"/>
    <w:rsid w:val="421E73A4"/>
    <w:rsid w:val="42354CCB"/>
    <w:rsid w:val="42C63838"/>
    <w:rsid w:val="439940D7"/>
    <w:rsid w:val="457E78C6"/>
    <w:rsid w:val="459853CF"/>
    <w:rsid w:val="475F3D89"/>
    <w:rsid w:val="4BD82FB6"/>
    <w:rsid w:val="4BEC74D9"/>
    <w:rsid w:val="4C2630C7"/>
    <w:rsid w:val="4E320449"/>
    <w:rsid w:val="4FB95338"/>
    <w:rsid w:val="51AC50FA"/>
    <w:rsid w:val="55F42A27"/>
    <w:rsid w:val="55FF7146"/>
    <w:rsid w:val="564E6629"/>
    <w:rsid w:val="56B70654"/>
    <w:rsid w:val="581D4250"/>
    <w:rsid w:val="583F5C3D"/>
    <w:rsid w:val="59396B30"/>
    <w:rsid w:val="59975BB9"/>
    <w:rsid w:val="5BD26DC8"/>
    <w:rsid w:val="5C2A7FDF"/>
    <w:rsid w:val="5C8D59C8"/>
    <w:rsid w:val="5CF518A1"/>
    <w:rsid w:val="5D0A7073"/>
    <w:rsid w:val="5D28466A"/>
    <w:rsid w:val="5D4D7738"/>
    <w:rsid w:val="5E1919C7"/>
    <w:rsid w:val="6038505A"/>
    <w:rsid w:val="60E870A8"/>
    <w:rsid w:val="61414ACB"/>
    <w:rsid w:val="61A147DF"/>
    <w:rsid w:val="638970E3"/>
    <w:rsid w:val="63FA510E"/>
    <w:rsid w:val="645E114E"/>
    <w:rsid w:val="65474383"/>
    <w:rsid w:val="67D7016E"/>
    <w:rsid w:val="68115438"/>
    <w:rsid w:val="68A04F1D"/>
    <w:rsid w:val="68A16370"/>
    <w:rsid w:val="68CA50AF"/>
    <w:rsid w:val="698939FC"/>
    <w:rsid w:val="6AA644D8"/>
    <w:rsid w:val="6CDF1345"/>
    <w:rsid w:val="70BF14F3"/>
    <w:rsid w:val="73005C5F"/>
    <w:rsid w:val="731E1B66"/>
    <w:rsid w:val="74130252"/>
    <w:rsid w:val="75036542"/>
    <w:rsid w:val="79020A2F"/>
    <w:rsid w:val="7B272834"/>
    <w:rsid w:val="7F9E2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qFormat="1" w:unhideWhenUsed="0" w:uiPriority="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0"/>
    <w:qFormat/>
    <w:uiPriority w:val="0"/>
    <w:pPr>
      <w:keepNext/>
      <w:jc w:val="center"/>
      <w:outlineLvl w:val="0"/>
    </w:pPr>
    <w:rPr>
      <w:rFonts w:ascii="楷体_GB2312" w:eastAsia="楷体_GB2312"/>
      <w:sz w:val="28"/>
      <w:szCs w:val="28"/>
    </w:rPr>
  </w:style>
  <w:style w:type="paragraph" w:styleId="3">
    <w:name w:val="heading 2"/>
    <w:basedOn w:val="1"/>
    <w:next w:val="1"/>
    <w:link w:val="216"/>
    <w:qFormat/>
    <w:uiPriority w:val="0"/>
    <w:pPr>
      <w:keepNext/>
      <w:keepLines/>
      <w:spacing w:before="260" w:after="260" w:line="416" w:lineRule="auto"/>
      <w:jc w:val="center"/>
      <w:outlineLvl w:val="1"/>
    </w:pPr>
    <w:rPr>
      <w:rFonts w:ascii="Arial" w:hAnsi="Arial" w:eastAsia="幼圆" w:cs="Arial"/>
      <w:b/>
      <w:bCs/>
      <w:sz w:val="44"/>
      <w:szCs w:val="44"/>
    </w:rPr>
  </w:style>
  <w:style w:type="paragraph" w:styleId="4">
    <w:name w:val="heading 3"/>
    <w:basedOn w:val="1"/>
    <w:next w:val="5"/>
    <w:link w:val="204"/>
    <w:qFormat/>
    <w:uiPriority w:val="0"/>
    <w:pPr>
      <w:keepNext/>
      <w:keepLines/>
      <w:spacing w:before="260" w:after="260" w:line="416" w:lineRule="auto"/>
      <w:outlineLvl w:val="2"/>
    </w:pPr>
    <w:rPr>
      <w:b/>
      <w:bCs/>
      <w:sz w:val="32"/>
      <w:szCs w:val="32"/>
    </w:rPr>
  </w:style>
  <w:style w:type="paragraph" w:styleId="6">
    <w:name w:val="heading 4"/>
    <w:basedOn w:val="1"/>
    <w:next w:val="5"/>
    <w:link w:val="214"/>
    <w:qFormat/>
    <w:uiPriority w:val="0"/>
    <w:pPr>
      <w:keepNext/>
      <w:keepLines/>
      <w:spacing w:before="280" w:after="290" w:line="376" w:lineRule="auto"/>
      <w:outlineLvl w:val="3"/>
    </w:pPr>
    <w:rPr>
      <w:rFonts w:ascii="Arial" w:hAnsi="Arial" w:eastAsia="黑体" w:cs="Arial"/>
      <w:b/>
      <w:bCs/>
      <w:sz w:val="28"/>
      <w:szCs w:val="28"/>
    </w:rPr>
  </w:style>
  <w:style w:type="paragraph" w:styleId="7">
    <w:name w:val="heading 5"/>
    <w:basedOn w:val="1"/>
    <w:next w:val="5"/>
    <w:link w:val="228"/>
    <w:qFormat/>
    <w:uiPriority w:val="0"/>
    <w:pPr>
      <w:keepNext/>
      <w:autoSpaceDE w:val="0"/>
      <w:autoSpaceDN w:val="0"/>
      <w:adjustRightInd w:val="0"/>
      <w:outlineLvl w:val="4"/>
    </w:pPr>
    <w:rPr>
      <w:rFonts w:ascii="宋体"/>
      <w:color w:val="000000"/>
      <w:kern w:val="0"/>
      <w:sz w:val="28"/>
      <w:szCs w:val="28"/>
    </w:rPr>
  </w:style>
  <w:style w:type="paragraph" w:styleId="8">
    <w:name w:val="heading 6"/>
    <w:basedOn w:val="1"/>
    <w:next w:val="1"/>
    <w:link w:val="215"/>
    <w:qFormat/>
    <w:uiPriority w:val="0"/>
    <w:pPr>
      <w:keepNext/>
      <w:keepLines/>
      <w:numPr>
        <w:ilvl w:val="5"/>
        <w:numId w:val="1"/>
      </w:numPr>
      <w:spacing w:before="240" w:after="64" w:line="320" w:lineRule="auto"/>
      <w:outlineLvl w:val="5"/>
    </w:pPr>
    <w:rPr>
      <w:rFonts w:ascii="Arial" w:hAnsi="Arial" w:eastAsia="黑体"/>
      <w:b/>
      <w:bCs/>
      <w:sz w:val="24"/>
      <w:szCs w:val="24"/>
    </w:rPr>
  </w:style>
  <w:style w:type="paragraph" w:styleId="9">
    <w:name w:val="heading 7"/>
    <w:basedOn w:val="1"/>
    <w:next w:val="1"/>
    <w:link w:val="231"/>
    <w:qFormat/>
    <w:uiPriority w:val="0"/>
    <w:pPr>
      <w:keepNext/>
      <w:keepLines/>
      <w:numPr>
        <w:ilvl w:val="6"/>
        <w:numId w:val="1"/>
      </w:numPr>
      <w:spacing w:before="240" w:after="64" w:line="320" w:lineRule="auto"/>
      <w:outlineLvl w:val="6"/>
    </w:pPr>
    <w:rPr>
      <w:b/>
      <w:bCs/>
      <w:sz w:val="24"/>
      <w:szCs w:val="24"/>
    </w:rPr>
  </w:style>
  <w:style w:type="paragraph" w:styleId="10">
    <w:name w:val="heading 8"/>
    <w:basedOn w:val="1"/>
    <w:next w:val="1"/>
    <w:link w:val="224"/>
    <w:qFormat/>
    <w:uiPriority w:val="0"/>
    <w:pPr>
      <w:keepNext/>
      <w:keepLines/>
      <w:numPr>
        <w:ilvl w:val="7"/>
        <w:numId w:val="1"/>
      </w:numPr>
      <w:spacing w:before="240" w:after="64" w:line="320" w:lineRule="auto"/>
      <w:outlineLvl w:val="7"/>
    </w:pPr>
    <w:rPr>
      <w:rFonts w:ascii="Arial" w:hAnsi="Arial" w:eastAsia="黑体"/>
      <w:sz w:val="24"/>
      <w:szCs w:val="24"/>
    </w:rPr>
  </w:style>
  <w:style w:type="paragraph" w:styleId="11">
    <w:name w:val="heading 9"/>
    <w:basedOn w:val="1"/>
    <w:next w:val="1"/>
    <w:link w:val="223"/>
    <w:qFormat/>
    <w:uiPriority w:val="0"/>
    <w:pPr>
      <w:keepNext/>
      <w:keepLines/>
      <w:numPr>
        <w:ilvl w:val="8"/>
        <w:numId w:val="1"/>
      </w:numPr>
      <w:spacing w:before="240" w:after="64" w:line="320" w:lineRule="auto"/>
      <w:outlineLvl w:val="8"/>
    </w:pPr>
    <w:rPr>
      <w:rFonts w:ascii="Arial" w:hAnsi="Arial" w:eastAsia="黑体"/>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222"/>
    <w:qFormat/>
    <w:uiPriority w:val="0"/>
    <w:pPr>
      <w:ind w:firstLine="420"/>
    </w:pPr>
  </w:style>
  <w:style w:type="paragraph" w:styleId="12">
    <w:name w:val="List 3"/>
    <w:basedOn w:val="1"/>
    <w:qFormat/>
    <w:uiPriority w:val="0"/>
    <w:pPr>
      <w:ind w:left="100" w:leftChars="400" w:hanging="200" w:hangingChars="200"/>
    </w:pPr>
  </w:style>
  <w:style w:type="paragraph" w:styleId="13">
    <w:name w:val="toc 7"/>
    <w:basedOn w:val="1"/>
    <w:next w:val="1"/>
    <w:semiHidden/>
    <w:qFormat/>
    <w:uiPriority w:val="0"/>
    <w:pPr>
      <w:ind w:left="1260"/>
      <w:jc w:val="left"/>
    </w:pPr>
  </w:style>
  <w:style w:type="paragraph" w:styleId="14">
    <w:name w:val="Document Map"/>
    <w:basedOn w:val="1"/>
    <w:link w:val="220"/>
    <w:semiHidden/>
    <w:qFormat/>
    <w:uiPriority w:val="0"/>
    <w:pPr>
      <w:shd w:val="clear" w:color="auto" w:fill="000080"/>
    </w:pPr>
  </w:style>
  <w:style w:type="paragraph" w:styleId="15">
    <w:name w:val="annotation text"/>
    <w:basedOn w:val="1"/>
    <w:link w:val="212"/>
    <w:semiHidden/>
    <w:qFormat/>
    <w:uiPriority w:val="0"/>
    <w:pPr>
      <w:jc w:val="left"/>
    </w:pPr>
  </w:style>
  <w:style w:type="paragraph" w:styleId="16">
    <w:name w:val="Body Text 3"/>
    <w:basedOn w:val="1"/>
    <w:link w:val="225"/>
    <w:qFormat/>
    <w:uiPriority w:val="0"/>
    <w:rPr>
      <w:rFonts w:ascii="仿宋_GB2312" w:hAnsi="Arial" w:eastAsia="仿宋_GB2312"/>
      <w:sz w:val="32"/>
      <w:szCs w:val="32"/>
    </w:rPr>
  </w:style>
  <w:style w:type="paragraph" w:styleId="17">
    <w:name w:val="Body Text"/>
    <w:basedOn w:val="1"/>
    <w:link w:val="213"/>
    <w:qFormat/>
    <w:uiPriority w:val="0"/>
    <w:rPr>
      <w:rFonts w:ascii="楷体_GB2312" w:hAnsi="Arial" w:eastAsia="楷体_GB2312"/>
      <w:sz w:val="28"/>
      <w:szCs w:val="28"/>
    </w:rPr>
  </w:style>
  <w:style w:type="paragraph" w:styleId="18">
    <w:name w:val="Body Text Indent"/>
    <w:basedOn w:val="1"/>
    <w:next w:val="1"/>
    <w:link w:val="232"/>
    <w:qFormat/>
    <w:uiPriority w:val="0"/>
    <w:pPr>
      <w:ind w:firstLine="645"/>
    </w:pPr>
    <w:rPr>
      <w:rFonts w:ascii="楷体_GB2312" w:eastAsia="楷体_GB2312"/>
      <w:sz w:val="32"/>
      <w:szCs w:val="32"/>
    </w:rPr>
  </w:style>
  <w:style w:type="paragraph" w:styleId="19">
    <w:name w:val="List 2"/>
    <w:basedOn w:val="1"/>
    <w:qFormat/>
    <w:uiPriority w:val="0"/>
    <w:pPr>
      <w:ind w:left="100" w:leftChars="200" w:hanging="200" w:hangingChars="200"/>
    </w:pPr>
  </w:style>
  <w:style w:type="paragraph" w:styleId="20">
    <w:name w:val="toc 5"/>
    <w:basedOn w:val="1"/>
    <w:next w:val="1"/>
    <w:semiHidden/>
    <w:qFormat/>
    <w:uiPriority w:val="0"/>
    <w:pPr>
      <w:ind w:left="840"/>
      <w:jc w:val="left"/>
    </w:pPr>
  </w:style>
  <w:style w:type="paragraph" w:styleId="21">
    <w:name w:val="toc 3"/>
    <w:basedOn w:val="1"/>
    <w:next w:val="1"/>
    <w:semiHidden/>
    <w:qFormat/>
    <w:uiPriority w:val="0"/>
    <w:pPr>
      <w:ind w:left="420"/>
      <w:jc w:val="left"/>
    </w:pPr>
    <w:rPr>
      <w:i/>
      <w:iCs/>
      <w:szCs w:val="24"/>
    </w:rPr>
  </w:style>
  <w:style w:type="paragraph" w:styleId="22">
    <w:name w:val="Plain Text"/>
    <w:basedOn w:val="1"/>
    <w:link w:val="208"/>
    <w:qFormat/>
    <w:uiPriority w:val="0"/>
    <w:rPr>
      <w:rFonts w:ascii="宋体" w:hAnsi="Courier New" w:cs="Courier New"/>
    </w:rPr>
  </w:style>
  <w:style w:type="paragraph" w:styleId="23">
    <w:name w:val="toc 8"/>
    <w:basedOn w:val="1"/>
    <w:next w:val="1"/>
    <w:semiHidden/>
    <w:qFormat/>
    <w:uiPriority w:val="0"/>
    <w:pPr>
      <w:ind w:left="1470"/>
      <w:jc w:val="left"/>
    </w:pPr>
  </w:style>
  <w:style w:type="paragraph" w:styleId="24">
    <w:name w:val="Date"/>
    <w:basedOn w:val="1"/>
    <w:next w:val="1"/>
    <w:link w:val="229"/>
    <w:qFormat/>
    <w:uiPriority w:val="0"/>
    <w:rPr>
      <w:sz w:val="24"/>
      <w:szCs w:val="24"/>
    </w:rPr>
  </w:style>
  <w:style w:type="paragraph" w:styleId="25">
    <w:name w:val="Body Text Indent 2"/>
    <w:basedOn w:val="1"/>
    <w:link w:val="207"/>
    <w:qFormat/>
    <w:uiPriority w:val="0"/>
    <w:pPr>
      <w:ind w:left="630" w:firstLine="645"/>
    </w:pPr>
    <w:rPr>
      <w:rFonts w:ascii="Arial" w:hAnsi="Arial" w:eastAsia="仿宋_GB2312" w:cs="Arial"/>
      <w:sz w:val="32"/>
      <w:szCs w:val="32"/>
    </w:rPr>
  </w:style>
  <w:style w:type="paragraph" w:styleId="26">
    <w:name w:val="Balloon Text"/>
    <w:basedOn w:val="1"/>
    <w:link w:val="226"/>
    <w:semiHidden/>
    <w:qFormat/>
    <w:uiPriority w:val="0"/>
    <w:rPr>
      <w:sz w:val="18"/>
      <w:szCs w:val="18"/>
    </w:rPr>
  </w:style>
  <w:style w:type="paragraph" w:styleId="27">
    <w:name w:val="footer"/>
    <w:basedOn w:val="1"/>
    <w:link w:val="206"/>
    <w:qFormat/>
    <w:uiPriority w:val="0"/>
    <w:pPr>
      <w:tabs>
        <w:tab w:val="center" w:pos="4153"/>
        <w:tab w:val="right" w:pos="8306"/>
      </w:tabs>
      <w:snapToGrid w:val="0"/>
      <w:jc w:val="left"/>
    </w:pPr>
    <w:rPr>
      <w:sz w:val="18"/>
      <w:szCs w:val="18"/>
    </w:rPr>
  </w:style>
  <w:style w:type="paragraph" w:styleId="28">
    <w:name w:val="header"/>
    <w:basedOn w:val="1"/>
    <w:link w:val="211"/>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pPr>
      <w:tabs>
        <w:tab w:val="right" w:leader="dot" w:pos="8720"/>
      </w:tabs>
      <w:spacing w:before="120" w:after="120" w:line="400" w:lineRule="exact"/>
      <w:jc w:val="left"/>
    </w:pPr>
    <w:rPr>
      <w:rFonts w:ascii="宋体" w:hAnsi="宋体"/>
      <w:caps/>
      <w:sz w:val="24"/>
      <w:szCs w:val="24"/>
    </w:rPr>
  </w:style>
  <w:style w:type="paragraph" w:styleId="30">
    <w:name w:val="toc 4"/>
    <w:basedOn w:val="1"/>
    <w:next w:val="1"/>
    <w:semiHidden/>
    <w:qFormat/>
    <w:uiPriority w:val="0"/>
    <w:pPr>
      <w:ind w:left="630"/>
      <w:jc w:val="left"/>
    </w:pPr>
  </w:style>
  <w:style w:type="paragraph" w:styleId="31">
    <w:name w:val="List"/>
    <w:basedOn w:val="1"/>
    <w:qFormat/>
    <w:uiPriority w:val="0"/>
    <w:pPr>
      <w:ind w:left="200" w:hanging="200" w:hangingChars="200"/>
    </w:pPr>
  </w:style>
  <w:style w:type="paragraph" w:styleId="32">
    <w:name w:val="toc 6"/>
    <w:basedOn w:val="1"/>
    <w:next w:val="1"/>
    <w:semiHidden/>
    <w:qFormat/>
    <w:uiPriority w:val="0"/>
    <w:pPr>
      <w:ind w:left="1050"/>
      <w:jc w:val="left"/>
    </w:pPr>
  </w:style>
  <w:style w:type="paragraph" w:styleId="33">
    <w:name w:val="Body Text Indent 3"/>
    <w:basedOn w:val="1"/>
    <w:link w:val="217"/>
    <w:qFormat/>
    <w:uiPriority w:val="0"/>
    <w:pPr>
      <w:ind w:left="645" w:firstLine="645"/>
    </w:pPr>
    <w:rPr>
      <w:rFonts w:ascii="Arial" w:hAnsi="Arial" w:eastAsia="仿宋_GB2312" w:cs="Arial"/>
      <w:color w:val="FFFF00"/>
      <w:sz w:val="32"/>
      <w:szCs w:val="32"/>
    </w:rPr>
  </w:style>
  <w:style w:type="paragraph" w:styleId="34">
    <w:name w:val="table of figures"/>
    <w:basedOn w:val="1"/>
    <w:next w:val="1"/>
    <w:semiHidden/>
    <w:qFormat/>
    <w:uiPriority w:val="0"/>
    <w:pPr>
      <w:ind w:left="840" w:hanging="420"/>
    </w:pPr>
  </w:style>
  <w:style w:type="paragraph" w:styleId="35">
    <w:name w:val="toc 2"/>
    <w:basedOn w:val="1"/>
    <w:next w:val="1"/>
    <w:semiHidden/>
    <w:qFormat/>
    <w:uiPriority w:val="0"/>
    <w:pPr>
      <w:ind w:left="210"/>
      <w:jc w:val="left"/>
    </w:pPr>
    <w:rPr>
      <w:smallCaps/>
      <w:szCs w:val="24"/>
    </w:rPr>
  </w:style>
  <w:style w:type="paragraph" w:styleId="36">
    <w:name w:val="toc 9"/>
    <w:basedOn w:val="1"/>
    <w:next w:val="1"/>
    <w:semiHidden/>
    <w:qFormat/>
    <w:uiPriority w:val="0"/>
    <w:pPr>
      <w:ind w:left="1680"/>
      <w:jc w:val="left"/>
    </w:pPr>
  </w:style>
  <w:style w:type="paragraph" w:styleId="37">
    <w:name w:val="Body Text 2"/>
    <w:basedOn w:val="1"/>
    <w:link w:val="205"/>
    <w:qFormat/>
    <w:uiPriority w:val="0"/>
    <w:pPr>
      <w:widowControl/>
      <w:jc w:val="center"/>
    </w:pPr>
    <w:rPr>
      <w:rFonts w:ascii="楷体_GB2312" w:eastAsia="楷体_GB2312"/>
      <w:sz w:val="28"/>
      <w:szCs w:val="28"/>
    </w:rPr>
  </w:style>
  <w:style w:type="paragraph" w:styleId="3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9">
    <w:name w:val="index 1"/>
    <w:basedOn w:val="1"/>
    <w:next w:val="1"/>
    <w:semiHidden/>
    <w:qFormat/>
    <w:uiPriority w:val="0"/>
    <w:pPr>
      <w:spacing w:line="240" w:lineRule="atLeast"/>
    </w:pPr>
    <w:rPr>
      <w:b/>
      <w:bCs/>
    </w:rPr>
  </w:style>
  <w:style w:type="paragraph" w:styleId="40">
    <w:name w:val="annotation subject"/>
    <w:basedOn w:val="15"/>
    <w:next w:val="15"/>
    <w:link w:val="218"/>
    <w:semiHidden/>
    <w:qFormat/>
    <w:uiPriority w:val="0"/>
    <w:rPr>
      <w:b/>
      <w:bCs/>
    </w:rPr>
  </w:style>
  <w:style w:type="paragraph" w:styleId="41">
    <w:name w:val="Body Text First Indent"/>
    <w:basedOn w:val="1"/>
    <w:link w:val="209"/>
    <w:qFormat/>
    <w:uiPriority w:val="0"/>
    <w:pPr>
      <w:spacing w:line="360" w:lineRule="auto"/>
      <w:ind w:firstLine="200" w:firstLineChars="200"/>
    </w:pPr>
    <w:rPr>
      <w:rFonts w:ascii="仿宋_GB2312" w:eastAsia="仿宋_GB2312"/>
      <w:sz w:val="30"/>
      <w:szCs w:val="30"/>
    </w:rPr>
  </w:style>
  <w:style w:type="paragraph" w:styleId="42">
    <w:name w:val="Body Text First Indent 2"/>
    <w:basedOn w:val="18"/>
    <w:link w:val="221"/>
    <w:qFormat/>
    <w:uiPriority w:val="0"/>
    <w:pPr>
      <w:spacing w:line="360" w:lineRule="auto"/>
      <w:ind w:firstLine="420" w:firstLineChars="200"/>
    </w:pPr>
    <w:rPr>
      <w:rFonts w:ascii="宋体" w:hAnsi="宋体" w:eastAsia="宋体"/>
      <w:sz w:val="21"/>
      <w:szCs w:val="20"/>
    </w:rPr>
  </w:style>
  <w:style w:type="table" w:styleId="44">
    <w:name w:val="Table Grid"/>
    <w:basedOn w:val="43"/>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qFormat/>
    <w:uiPriority w:val="0"/>
  </w:style>
  <w:style w:type="character" w:styleId="48">
    <w:name w:val="FollowedHyperlink"/>
    <w:qFormat/>
    <w:uiPriority w:val="0"/>
    <w:rPr>
      <w:color w:val="800080"/>
      <w:u w:val="single"/>
    </w:rPr>
  </w:style>
  <w:style w:type="character" w:styleId="49">
    <w:name w:val="Hyperlink"/>
    <w:qFormat/>
    <w:uiPriority w:val="0"/>
    <w:rPr>
      <w:color w:val="0000FF"/>
      <w:u w:val="single"/>
    </w:rPr>
  </w:style>
  <w:style w:type="character" w:styleId="50">
    <w:name w:val="annotation reference"/>
    <w:semiHidden/>
    <w:qFormat/>
    <w:uiPriority w:val="0"/>
    <w:rPr>
      <w:sz w:val="21"/>
      <w:szCs w:val="21"/>
    </w:rPr>
  </w:style>
  <w:style w:type="paragraph" w:customStyle="1" w:styleId="51">
    <w:name w:val="标题二、"/>
    <w:basedOn w:val="1"/>
    <w:qFormat/>
    <w:uiPriority w:val="99"/>
    <w:pPr>
      <w:spacing w:line="360" w:lineRule="auto"/>
      <w:ind w:firstLine="200"/>
      <w:outlineLvl w:val="2"/>
    </w:pPr>
    <w:rPr>
      <w:rFonts w:ascii="宋体" w:hAnsi="宋体"/>
      <w:b/>
    </w:rPr>
  </w:style>
  <w:style w:type="paragraph" w:customStyle="1" w:styleId="52">
    <w:name w:val="标题 1_0_0"/>
    <w:basedOn w:val="53"/>
    <w:next w:val="55"/>
    <w:qFormat/>
    <w:uiPriority w:val="0"/>
    <w:pPr>
      <w:keepNext/>
      <w:keepLines/>
      <w:spacing w:before="340" w:after="330" w:line="576" w:lineRule="auto"/>
      <w:outlineLvl w:val="0"/>
    </w:pPr>
    <w:rPr>
      <w:rFonts w:ascii="Times New Roman" w:hAnsi="Times New Roman"/>
      <w:b/>
      <w:kern w:val="44"/>
      <w:sz w:val="44"/>
      <w:szCs w:val="20"/>
    </w:rPr>
  </w:style>
  <w:style w:type="paragraph" w:customStyle="1" w:styleId="53">
    <w:name w:val="正文_2_0_2"/>
    <w:next w:val="5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
    <w:name w:val="标题_0_0_0"/>
    <w:basedOn w:val="53"/>
    <w:next w:val="53"/>
    <w:qFormat/>
    <w:uiPriority w:val="0"/>
    <w:pPr>
      <w:spacing w:before="240" w:after="60"/>
      <w:jc w:val="center"/>
      <w:outlineLvl w:val="0"/>
    </w:pPr>
    <w:rPr>
      <w:rFonts w:ascii="Cambria" w:hAnsi="Cambria"/>
      <w:b/>
      <w:bCs/>
      <w:sz w:val="32"/>
      <w:szCs w:val="32"/>
    </w:rPr>
  </w:style>
  <w:style w:type="paragraph" w:customStyle="1" w:styleId="55">
    <w:name w:val="正文_2_0_1_0"/>
    <w:next w:val="52"/>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font6"/>
    <w:basedOn w:val="1"/>
    <w:qFormat/>
    <w:uiPriority w:val="0"/>
    <w:pPr>
      <w:widowControl/>
      <w:spacing w:before="100" w:beforeAutospacing="1" w:after="100" w:afterAutospacing="1"/>
      <w:jc w:val="left"/>
    </w:pPr>
    <w:rPr>
      <w:rFonts w:hint="eastAsia" w:ascii="宋体" w:hAnsi="宋体"/>
      <w:kern w:val="0"/>
      <w:sz w:val="28"/>
      <w:szCs w:val="28"/>
      <w:u w:val="single"/>
    </w:rPr>
  </w:style>
  <w:style w:type="paragraph" w:customStyle="1" w:styleId="57">
    <w:name w:val="标题 3_0"/>
    <w:basedOn w:val="53"/>
    <w:next w:val="58"/>
    <w:qFormat/>
    <w:uiPriority w:val="0"/>
    <w:pPr>
      <w:keepNext/>
      <w:keepLines/>
      <w:spacing w:before="260" w:after="260" w:line="413" w:lineRule="auto"/>
      <w:outlineLvl w:val="2"/>
    </w:pPr>
    <w:rPr>
      <w:rFonts w:ascii="Times New Roman" w:hAnsi="Times New Roman"/>
      <w:b/>
      <w:sz w:val="32"/>
      <w:szCs w:val="20"/>
    </w:rPr>
  </w:style>
  <w:style w:type="paragraph" w:customStyle="1" w:styleId="58">
    <w:name w:val="正文_16"/>
    <w:next w:val="5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9">
    <w:name w:val="Normal_22_0"/>
    <w:qFormat/>
    <w:uiPriority w:val="0"/>
    <w:pPr>
      <w:widowControl w:val="0"/>
      <w:jc w:val="both"/>
    </w:pPr>
    <w:rPr>
      <w:rFonts w:ascii="Calibri" w:hAnsi="Calibri" w:eastAsia="宋体" w:cs="Times New Roman"/>
      <w:szCs w:val="24"/>
      <w:lang w:val="en-US" w:eastAsia="zh-CN" w:bidi="ar-SA"/>
    </w:rPr>
  </w:style>
  <w:style w:type="paragraph" w:customStyle="1" w:styleId="60">
    <w:name w:val="Normal_17_0"/>
    <w:qFormat/>
    <w:uiPriority w:val="0"/>
    <w:rPr>
      <w:rFonts w:ascii="黑体" w:hAnsi="黑体" w:eastAsia="黑体" w:cs="黑体"/>
      <w:b/>
      <w:sz w:val="32"/>
      <w:szCs w:val="24"/>
      <w:lang w:val="en-US" w:eastAsia="zh-CN" w:bidi="ar-SA"/>
    </w:rPr>
  </w:style>
  <w:style w:type="paragraph" w:customStyle="1" w:styleId="61">
    <w:name w:val="标题3"/>
    <w:basedOn w:val="1"/>
    <w:next w:val="1"/>
    <w:qFormat/>
    <w:uiPriority w:val="0"/>
    <w:pPr>
      <w:autoSpaceDE w:val="0"/>
      <w:autoSpaceDN w:val="0"/>
      <w:snapToGrid w:val="0"/>
      <w:spacing w:line="590" w:lineRule="atLeast"/>
      <w:ind w:firstLine="624"/>
    </w:pPr>
    <w:rPr>
      <w:rFonts w:ascii="方正黑体_GBK" w:eastAsia="方正黑体_GBK"/>
      <w:snapToGrid w:val="0"/>
      <w:kern w:val="0"/>
      <w:sz w:val="32"/>
      <w:szCs w:val="32"/>
    </w:rPr>
  </w:style>
  <w:style w:type="paragraph" w:customStyle="1" w:styleId="62">
    <w:name w:val="xl29"/>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kern w:val="0"/>
      <w:sz w:val="24"/>
      <w:szCs w:val="24"/>
    </w:rPr>
  </w:style>
  <w:style w:type="paragraph" w:customStyle="1" w:styleId="63">
    <w:name w:val="Normal_19_1"/>
    <w:next w:val="64"/>
    <w:qFormat/>
    <w:uiPriority w:val="0"/>
    <w:rPr>
      <w:rFonts w:ascii="Times New Roman" w:hAnsi="Times New Roman" w:eastAsia="Times New Roman" w:cs="Times New Roman"/>
      <w:sz w:val="24"/>
      <w:szCs w:val="24"/>
      <w:lang w:val="en-US" w:eastAsia="zh-CN" w:bidi="ar-SA"/>
    </w:rPr>
  </w:style>
  <w:style w:type="paragraph" w:customStyle="1" w:styleId="64">
    <w:name w:val="UserStyle_0_0"/>
    <w:basedOn w:val="65"/>
    <w:qFormat/>
    <w:uiPriority w:val="0"/>
    <w:pPr>
      <w:spacing w:after="120"/>
      <w:ind w:left="420" w:leftChars="200"/>
    </w:pPr>
    <w:rPr>
      <w:rFonts w:ascii="Calibri" w:hAnsi="Calibri" w:eastAsia="Times New Roman"/>
    </w:rPr>
  </w:style>
  <w:style w:type="paragraph" w:customStyle="1" w:styleId="65">
    <w:name w:val="Normal_20"/>
    <w:qFormat/>
    <w:uiPriority w:val="0"/>
    <w:rPr>
      <w:rFonts w:ascii="黑体" w:hAnsi="黑体" w:eastAsia="黑体" w:cs="黑体"/>
      <w:b/>
      <w:sz w:val="32"/>
      <w:szCs w:val="24"/>
      <w:lang w:val="en-US" w:eastAsia="zh-CN" w:bidi="ar-SA"/>
    </w:rPr>
  </w:style>
  <w:style w:type="paragraph" w:customStyle="1" w:styleId="66">
    <w:name w:val="正文_16_1"/>
    <w:next w:val="67"/>
    <w:qFormat/>
    <w:uiPriority w:val="0"/>
    <w:pPr>
      <w:widowControl w:val="0"/>
      <w:jc w:val="both"/>
    </w:pPr>
    <w:rPr>
      <w:rFonts w:ascii="Calibri" w:hAnsi="Calibri" w:eastAsia="宋体" w:cs="Times New Roman"/>
      <w:kern w:val="2"/>
      <w:sz w:val="21"/>
      <w:szCs w:val="22"/>
      <w:lang w:val="en-US" w:eastAsia="zh-CN" w:bidi="ar-SA"/>
    </w:rPr>
  </w:style>
  <w:style w:type="paragraph" w:customStyle="1" w:styleId="67">
    <w:name w:val="标题_1"/>
    <w:basedOn w:val="66"/>
    <w:next w:val="66"/>
    <w:qFormat/>
    <w:uiPriority w:val="0"/>
    <w:pPr>
      <w:spacing w:before="240" w:after="60"/>
      <w:jc w:val="center"/>
      <w:outlineLvl w:val="0"/>
    </w:pPr>
    <w:rPr>
      <w:rFonts w:ascii="Cambria" w:hAnsi="Cambria"/>
      <w:b/>
      <w:bCs/>
      <w:sz w:val="32"/>
      <w:szCs w:val="32"/>
    </w:rPr>
  </w:style>
  <w:style w:type="paragraph" w:customStyle="1" w:styleId="68">
    <w:name w:val="正文_6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正文_2_0_3"/>
    <w:next w:val="7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0">
    <w:name w:val="标题_0_0_1"/>
    <w:basedOn w:val="69"/>
    <w:next w:val="69"/>
    <w:qFormat/>
    <w:uiPriority w:val="0"/>
    <w:pPr>
      <w:spacing w:before="240" w:after="60"/>
      <w:jc w:val="center"/>
      <w:outlineLvl w:val="0"/>
    </w:pPr>
    <w:rPr>
      <w:rFonts w:ascii="Cambria" w:hAnsi="Cambria"/>
      <w:b/>
      <w:bCs/>
      <w:sz w:val="32"/>
      <w:szCs w:val="32"/>
    </w:rPr>
  </w:style>
  <w:style w:type="paragraph" w:customStyle="1" w:styleId="71">
    <w:name w:val="正文_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2">
    <w:name w:val="正文文本缩进_1_0_0_1_0"/>
    <w:basedOn w:val="73"/>
    <w:qFormat/>
    <w:uiPriority w:val="0"/>
    <w:pPr>
      <w:ind w:firstLine="225" w:firstLineChars="225"/>
    </w:pPr>
    <w:rPr>
      <w:rFonts w:ascii="仿宋_GB2312" w:eastAsia="仿宋_GB2312"/>
      <w:sz w:val="32"/>
    </w:rPr>
  </w:style>
  <w:style w:type="paragraph" w:customStyle="1" w:styleId="73">
    <w:name w:val="正文_3_1_0_1_0"/>
    <w:next w:val="72"/>
    <w:qFormat/>
    <w:uiPriority w:val="0"/>
    <w:pPr>
      <w:widowControl w:val="0"/>
      <w:jc w:val="both"/>
    </w:pPr>
    <w:rPr>
      <w:rFonts w:ascii="Calibri" w:hAnsi="Calibri" w:eastAsia="宋体" w:cs="Times New Roman"/>
      <w:kern w:val="2"/>
      <w:sz w:val="21"/>
      <w:szCs w:val="22"/>
      <w:lang w:val="en-US" w:eastAsia="zh-CN" w:bidi="ar-SA"/>
    </w:rPr>
  </w:style>
  <w:style w:type="paragraph" w:customStyle="1" w:styleId="74">
    <w:name w:val="Normal_19_0"/>
    <w:next w:val="75"/>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List Continue 2_0"/>
    <w:basedOn w:val="74"/>
    <w:next w:val="76"/>
    <w:qFormat/>
    <w:uiPriority w:val="0"/>
    <w:pPr>
      <w:spacing w:after="120"/>
      <w:ind w:left="840" w:leftChars="400"/>
    </w:pPr>
    <w:rPr>
      <w:rFonts w:eastAsia="Times New Roman"/>
    </w:rPr>
  </w:style>
  <w:style w:type="paragraph" w:customStyle="1" w:styleId="76">
    <w:name w:val="TOC 4_0"/>
    <w:basedOn w:val="74"/>
    <w:next w:val="74"/>
    <w:qFormat/>
    <w:uiPriority w:val="0"/>
    <w:pPr>
      <w:ind w:left="600" w:leftChars="600"/>
    </w:pPr>
  </w:style>
  <w:style w:type="paragraph" w:customStyle="1" w:styleId="77">
    <w:name w:val="Normal_13_0"/>
    <w:qFormat/>
    <w:uiPriority w:val="0"/>
    <w:rPr>
      <w:rFonts w:ascii="黑体" w:hAnsi="黑体" w:eastAsia="黑体" w:cs="黑体"/>
      <w:b/>
      <w:sz w:val="32"/>
      <w:szCs w:val="24"/>
      <w:lang w:val="en-US" w:eastAsia="zh-CN" w:bidi="ar-SA"/>
    </w:rPr>
  </w:style>
  <w:style w:type="paragraph" w:customStyle="1" w:styleId="78">
    <w:name w:val="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79">
    <w:name w:val="正文_3_0_0"/>
    <w:qFormat/>
    <w:uiPriority w:val="0"/>
    <w:pPr>
      <w:widowControl w:val="0"/>
      <w:jc w:val="both"/>
    </w:pPr>
    <w:rPr>
      <w:rFonts w:ascii="Times New Roman" w:hAnsi="Times New Roman" w:eastAsia="宋体" w:cs="Times New Roman"/>
      <w:lang w:val="en-US" w:eastAsia="zh-CN" w:bidi="ar-SA"/>
    </w:rPr>
  </w:style>
  <w:style w:type="paragraph" w:styleId="80">
    <w:name w:val="List Paragraph"/>
    <w:basedOn w:val="1"/>
    <w:qFormat/>
    <w:uiPriority w:val="0"/>
    <w:pPr>
      <w:widowControl/>
      <w:ind w:left="720"/>
      <w:contextualSpacing/>
      <w:jc w:val="left"/>
    </w:pPr>
    <w:rPr>
      <w:rFonts w:ascii="Calibri" w:hAnsi="Calibri"/>
      <w:kern w:val="0"/>
      <w:sz w:val="24"/>
      <w:szCs w:val="24"/>
      <w:lang w:eastAsia="en-US" w:bidi="en-US"/>
    </w:rPr>
  </w:style>
  <w:style w:type="paragraph" w:customStyle="1" w:styleId="81">
    <w:name w:val="正文_12_0_0_0"/>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82">
    <w:name w:val="正文_17"/>
    <w:next w:val="83"/>
    <w:qFormat/>
    <w:uiPriority w:val="0"/>
    <w:pPr>
      <w:widowControl w:val="0"/>
      <w:jc w:val="both"/>
    </w:pPr>
    <w:rPr>
      <w:rFonts w:ascii="Calibri" w:hAnsi="Calibri" w:eastAsia="宋体" w:cs="Times New Roman"/>
      <w:kern w:val="2"/>
      <w:sz w:val="21"/>
      <w:szCs w:val="22"/>
      <w:lang w:val="en-US" w:eastAsia="zh-CN" w:bidi="ar-SA"/>
    </w:rPr>
  </w:style>
  <w:style w:type="paragraph" w:customStyle="1" w:styleId="83">
    <w:name w:val="正文1_1"/>
    <w:basedOn w:val="82"/>
    <w:next w:val="64"/>
    <w:qFormat/>
    <w:uiPriority w:val="0"/>
    <w:pPr>
      <w:widowControl/>
      <w:spacing w:line="360" w:lineRule="auto"/>
      <w:ind w:left="357" w:firstLine="420"/>
      <w:jc w:val="left"/>
    </w:pPr>
    <w:rPr>
      <w:rFonts w:cs="Arial"/>
      <w:szCs w:val="20"/>
    </w:rPr>
  </w:style>
  <w:style w:type="paragraph" w:customStyle="1" w:styleId="84">
    <w:name w:val="列表接续 2_0"/>
    <w:basedOn w:val="85"/>
    <w:next w:val="87"/>
    <w:qFormat/>
    <w:uiPriority w:val="0"/>
    <w:pPr>
      <w:spacing w:after="120"/>
      <w:ind w:left="840" w:leftChars="400"/>
    </w:pPr>
  </w:style>
  <w:style w:type="paragraph" w:customStyle="1" w:styleId="85">
    <w:name w:val="正文_2"/>
    <w:next w:val="86"/>
    <w:qFormat/>
    <w:uiPriority w:val="0"/>
    <w:pPr>
      <w:widowControl w:val="0"/>
      <w:jc w:val="both"/>
    </w:pPr>
    <w:rPr>
      <w:rFonts w:ascii="Calibri" w:hAnsi="Calibri" w:eastAsia="宋体" w:cs="Times New Roman"/>
      <w:sz w:val="21"/>
      <w:szCs w:val="22"/>
      <w:lang w:val="en-US" w:eastAsia="zh-CN" w:bidi="ar-SA"/>
    </w:rPr>
  </w:style>
  <w:style w:type="paragraph" w:customStyle="1" w:styleId="86">
    <w:name w:val="正文文本缩进_0"/>
    <w:basedOn w:val="85"/>
    <w:qFormat/>
    <w:uiPriority w:val="0"/>
    <w:pPr>
      <w:ind w:firstLine="225"/>
    </w:pPr>
    <w:rPr>
      <w:rFonts w:ascii="仿宋_GB2312" w:eastAsia="仿宋_GB2312"/>
      <w:sz w:val="32"/>
    </w:rPr>
  </w:style>
  <w:style w:type="paragraph" w:customStyle="1" w:styleId="87">
    <w:name w:val="目录 4_0"/>
    <w:basedOn w:val="85"/>
    <w:next w:val="85"/>
    <w:qFormat/>
    <w:uiPriority w:val="0"/>
    <w:pPr>
      <w:ind w:left="630"/>
      <w:jc w:val="left"/>
    </w:pPr>
    <w:rPr>
      <w:rFonts w:cs="Calibri"/>
      <w:sz w:val="18"/>
      <w:szCs w:val="18"/>
    </w:rPr>
  </w:style>
  <w:style w:type="paragraph" w:customStyle="1" w:styleId="88">
    <w:name w:val="Char"/>
    <w:basedOn w:val="1"/>
    <w:qFormat/>
    <w:uiPriority w:val="0"/>
    <w:pPr>
      <w:tabs>
        <w:tab w:val="left" w:pos="360"/>
      </w:tabs>
      <w:ind w:firstLine="200" w:firstLineChars="200"/>
    </w:pPr>
    <w:rPr>
      <w:sz w:val="28"/>
      <w:szCs w:val="30"/>
    </w:rPr>
  </w:style>
  <w:style w:type="paragraph" w:customStyle="1" w:styleId="89">
    <w:name w:val="Normal_1_2"/>
    <w:qFormat/>
    <w:uiPriority w:val="0"/>
    <w:rPr>
      <w:rFonts w:ascii="Times New Roman" w:hAnsi="Times New Roman" w:eastAsia="Times New Roman" w:cs="Times New Roman"/>
      <w:sz w:val="24"/>
      <w:szCs w:val="24"/>
      <w:lang w:val="en-US" w:eastAsia="zh-CN" w:bidi="ar-SA"/>
    </w:rPr>
  </w:style>
  <w:style w:type="paragraph" w:customStyle="1" w:styleId="90">
    <w:name w:val="Char Char Char Char"/>
    <w:basedOn w:val="14"/>
    <w:qFormat/>
    <w:uiPriority w:val="0"/>
    <w:pPr>
      <w:adjustRightInd w:val="0"/>
      <w:snapToGrid w:val="0"/>
      <w:spacing w:line="360" w:lineRule="auto"/>
    </w:pPr>
    <w:rPr>
      <w:rFonts w:ascii="Tahoma" w:hAnsi="Tahoma"/>
      <w:sz w:val="24"/>
      <w:szCs w:val="24"/>
    </w:rPr>
  </w:style>
  <w:style w:type="paragraph" w:customStyle="1" w:styleId="91">
    <w:name w:val="正文_2_0_0_1"/>
    <w:next w:val="92"/>
    <w:qFormat/>
    <w:uiPriority w:val="0"/>
    <w:pPr>
      <w:widowControl w:val="0"/>
      <w:jc w:val="both"/>
    </w:pPr>
    <w:rPr>
      <w:rFonts w:ascii="Calibri" w:hAnsi="Calibri" w:eastAsia="宋体" w:cs="Times New Roman"/>
      <w:kern w:val="2"/>
      <w:sz w:val="21"/>
      <w:szCs w:val="22"/>
      <w:lang w:val="en-US" w:eastAsia="zh-CN" w:bidi="ar-SA"/>
    </w:rPr>
  </w:style>
  <w:style w:type="paragraph" w:customStyle="1" w:styleId="92">
    <w:name w:val="正文首行缩进 2_0_0_0"/>
    <w:basedOn w:val="93"/>
    <w:qFormat/>
    <w:uiPriority w:val="99"/>
    <w:pPr>
      <w:spacing w:after="120"/>
      <w:ind w:left="200" w:leftChars="200" w:firstLine="200" w:firstLineChars="200"/>
    </w:pPr>
    <w:rPr>
      <w:rFonts w:ascii="Times New Roman" w:hAnsi="Times New Roman"/>
      <w:kern w:val="0"/>
      <w:sz w:val="24"/>
    </w:rPr>
  </w:style>
  <w:style w:type="paragraph" w:customStyle="1" w:styleId="93">
    <w:name w:val="正文文本缩进_0_0_0"/>
    <w:basedOn w:val="91"/>
    <w:next w:val="91"/>
    <w:qFormat/>
    <w:uiPriority w:val="99"/>
    <w:pPr>
      <w:ind w:firstLine="225" w:firstLineChars="225"/>
    </w:pPr>
    <w:rPr>
      <w:rFonts w:ascii="仿宋_GB2312" w:eastAsia="仿宋_GB2312"/>
      <w:sz w:val="32"/>
    </w:rPr>
  </w:style>
  <w:style w:type="paragraph" w:customStyle="1" w:styleId="94">
    <w:name w:val="列出段落1"/>
    <w:basedOn w:val="1"/>
    <w:link w:val="210"/>
    <w:qFormat/>
    <w:uiPriority w:val="0"/>
    <w:pPr>
      <w:widowControl/>
      <w:ind w:left="720"/>
      <w:contextualSpacing/>
      <w:jc w:val="left"/>
    </w:pPr>
    <w:rPr>
      <w:rFonts w:ascii="Calibri" w:hAnsi="Calibri"/>
      <w:sz w:val="24"/>
      <w:szCs w:val="24"/>
      <w:lang w:eastAsia="en-US" w:bidi="en-US"/>
    </w:rPr>
  </w:style>
  <w:style w:type="paragraph" w:customStyle="1" w:styleId="95">
    <w:name w:val="正文_12_0_0_0_0"/>
    <w:basedOn w:val="1"/>
    <w:qFormat/>
    <w:uiPriority w:val="0"/>
    <w:rPr>
      <w:szCs w:val="24"/>
    </w:rPr>
  </w:style>
  <w:style w:type="paragraph" w:customStyle="1" w:styleId="96">
    <w:name w:val="正文_3"/>
    <w:next w:val="97"/>
    <w:qFormat/>
    <w:uiPriority w:val="0"/>
    <w:pPr>
      <w:widowControl w:val="0"/>
      <w:jc w:val="both"/>
    </w:pPr>
    <w:rPr>
      <w:rFonts w:ascii="Calibri" w:hAnsi="Calibri" w:eastAsia="宋体" w:cs="Times New Roman"/>
      <w:kern w:val="2"/>
      <w:sz w:val="21"/>
      <w:szCs w:val="22"/>
      <w:lang w:val="en-US" w:eastAsia="zh-CN" w:bidi="ar-SA"/>
    </w:rPr>
  </w:style>
  <w:style w:type="paragraph" w:customStyle="1" w:styleId="97">
    <w:name w:val="列表接续 2_1"/>
    <w:basedOn w:val="96"/>
    <w:next w:val="98"/>
    <w:qFormat/>
    <w:uiPriority w:val="0"/>
    <w:pPr>
      <w:spacing w:after="120"/>
      <w:ind w:left="840" w:leftChars="400"/>
    </w:pPr>
  </w:style>
  <w:style w:type="paragraph" w:customStyle="1" w:styleId="98">
    <w:name w:val="目录 4_1"/>
    <w:basedOn w:val="96"/>
    <w:next w:val="96"/>
    <w:qFormat/>
    <w:uiPriority w:val="0"/>
    <w:pPr>
      <w:ind w:left="630"/>
      <w:jc w:val="left"/>
    </w:pPr>
    <w:rPr>
      <w:rFonts w:cs="Calibri"/>
      <w:sz w:val="18"/>
      <w:szCs w:val="18"/>
    </w:rPr>
  </w:style>
  <w:style w:type="paragraph" w:customStyle="1" w:styleId="99">
    <w:name w:val="附录1"/>
    <w:qFormat/>
    <w:uiPriority w:val="0"/>
    <w:pPr>
      <w:numPr>
        <w:ilvl w:val="0"/>
        <w:numId w:val="2"/>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100">
    <w:name w:val="二级目录"/>
    <w:next w:val="1"/>
    <w:link w:val="227"/>
    <w:qFormat/>
    <w:uiPriority w:val="0"/>
    <w:pPr>
      <w:tabs>
        <w:tab w:val="left" w:pos="907"/>
        <w:tab w:val="left" w:pos="1145"/>
      </w:tabs>
      <w:ind w:left="907" w:hanging="907"/>
      <w:outlineLvl w:val="1"/>
    </w:pPr>
    <w:rPr>
      <w:rFonts w:ascii="Times New Roman" w:hAnsi="Times New Roman" w:eastAsia="宋体" w:cs="Times New Roman"/>
      <w:b/>
      <w:kern w:val="2"/>
      <w:sz w:val="30"/>
      <w:szCs w:val="28"/>
      <w:lang w:val="en-US" w:eastAsia="zh-CN" w:bidi="ar-SA"/>
    </w:rPr>
  </w:style>
  <w:style w:type="paragraph" w:customStyle="1" w:styleId="101">
    <w:name w:val="正文空2字"/>
    <w:basedOn w:val="102"/>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102">
    <w:name w:val="左对齐正文"/>
    <w:qFormat/>
    <w:uiPriority w:val="99"/>
    <w:rPr>
      <w:rFonts w:ascii="Calibri" w:hAnsi="Calibri" w:eastAsia="仿宋_GB2312" w:cs="Calibri"/>
      <w:kern w:val="2"/>
      <w:sz w:val="32"/>
      <w:szCs w:val="32"/>
      <w:lang w:val="en-US" w:eastAsia="zh-CN" w:bidi="ar-SA"/>
    </w:rPr>
  </w:style>
  <w:style w:type="paragraph" w:customStyle="1" w:styleId="103">
    <w:name w:val="正文文本1"/>
    <w:basedOn w:val="1"/>
    <w:next w:val="1"/>
    <w:unhideWhenUsed/>
    <w:qFormat/>
    <w:uiPriority w:val="99"/>
    <w:pPr>
      <w:spacing w:after="120"/>
    </w:pPr>
  </w:style>
  <w:style w:type="paragraph" w:customStyle="1" w:styleId="104">
    <w:name w:val="正文_1_1"/>
    <w:next w:val="10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5">
    <w:name w:val="列表接续 2_2"/>
    <w:basedOn w:val="104"/>
    <w:next w:val="106"/>
    <w:qFormat/>
    <w:uiPriority w:val="0"/>
    <w:pPr>
      <w:spacing w:after="120"/>
      <w:ind w:left="840" w:leftChars="400"/>
    </w:pPr>
    <w:rPr>
      <w:rFonts w:ascii="Times New Roman" w:hAnsi="Times New Roman"/>
      <w:szCs w:val="24"/>
    </w:rPr>
  </w:style>
  <w:style w:type="paragraph" w:customStyle="1" w:styleId="106">
    <w:name w:val="目录 4_2"/>
    <w:basedOn w:val="104"/>
    <w:next w:val="104"/>
    <w:unhideWhenUsed/>
    <w:qFormat/>
    <w:uiPriority w:val="39"/>
    <w:pPr>
      <w:ind w:left="1260" w:leftChars="600"/>
    </w:pPr>
  </w:style>
  <w:style w:type="paragraph" w:customStyle="1" w:styleId="107">
    <w:name w:val="正文文本_1"/>
    <w:basedOn w:val="96"/>
    <w:qFormat/>
    <w:uiPriority w:val="0"/>
    <w:pPr>
      <w:spacing w:line="60" w:lineRule="auto"/>
    </w:pPr>
    <w:rPr>
      <w:rFonts w:ascii="仿宋_GB2312" w:eastAsia="仿宋_GB2312"/>
      <w:sz w:val="32"/>
    </w:rPr>
  </w:style>
  <w:style w:type="paragraph" w:customStyle="1" w:styleId="108">
    <w:name w:val="正文_17_0"/>
    <w:qFormat/>
    <w:uiPriority w:val="0"/>
    <w:pPr>
      <w:widowControl w:val="0"/>
      <w:jc w:val="both"/>
    </w:pPr>
    <w:rPr>
      <w:rFonts w:ascii="Calibri" w:hAnsi="Calibri" w:eastAsia="宋体" w:cs="Times New Roman"/>
      <w:sz w:val="21"/>
      <w:szCs w:val="22"/>
      <w:lang w:val="en-US" w:eastAsia="zh-CN" w:bidi="ar-SA"/>
    </w:rPr>
  </w:style>
  <w:style w:type="paragraph" w:customStyle="1" w:styleId="109">
    <w:name w:val="正文_17_0_0"/>
    <w:next w:val="1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
    <w:name w:val="标题 3_1_0"/>
    <w:basedOn w:val="109"/>
    <w:next w:val="109"/>
    <w:qFormat/>
    <w:uiPriority w:val="0"/>
    <w:pPr>
      <w:keepNext/>
      <w:keepLines/>
      <w:spacing w:before="260" w:after="260" w:line="413" w:lineRule="auto"/>
      <w:outlineLvl w:val="2"/>
    </w:pPr>
    <w:rPr>
      <w:rFonts w:ascii="Times New Roman" w:hAnsi="Times New Roman"/>
      <w:b/>
      <w:sz w:val="32"/>
      <w:szCs w:val="20"/>
    </w:rPr>
  </w:style>
  <w:style w:type="paragraph" w:customStyle="1" w:styleId="111">
    <w:name w:val="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12">
    <w:name w:val="Normal_14_0"/>
    <w:qFormat/>
    <w:uiPriority w:val="0"/>
    <w:rPr>
      <w:rFonts w:ascii="黑体" w:hAnsi="黑体" w:eastAsia="黑体" w:cs="黑体"/>
      <w:b/>
      <w:sz w:val="32"/>
      <w:szCs w:val="24"/>
      <w:lang w:val="en-US" w:eastAsia="zh-CN" w:bidi="ar-SA"/>
    </w:rPr>
  </w:style>
  <w:style w:type="paragraph" w:customStyle="1" w:styleId="113">
    <w:name w:val="正文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4">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115">
    <w:name w:val="无间隔1_0"/>
    <w:basedOn w:val="109"/>
    <w:qFormat/>
    <w:uiPriority w:val="1"/>
    <w:pPr>
      <w:spacing w:line="400" w:lineRule="exact"/>
    </w:pPr>
    <w:rPr>
      <w:rFonts w:ascii="Times New Roman" w:hAnsi="Times New Roman" w:eastAsia="Times New Roman"/>
      <w:color w:val="000000"/>
      <w:sz w:val="24"/>
      <w:szCs w:val="20"/>
    </w:rPr>
  </w:style>
  <w:style w:type="paragraph" w:customStyle="1" w:styleId="116">
    <w:name w:val="Normal_19_3"/>
    <w:next w:val="108"/>
    <w:qFormat/>
    <w:uiPriority w:val="0"/>
    <w:pPr>
      <w:widowControl w:val="0"/>
      <w:jc w:val="both"/>
    </w:pPr>
    <w:rPr>
      <w:rFonts w:ascii="Calibri" w:hAnsi="Calibri" w:eastAsia="Times New Roman" w:cs="Times New Roman"/>
      <w:szCs w:val="24"/>
      <w:lang w:val="en-US" w:eastAsia="zh-CN" w:bidi="ar-SA"/>
    </w:rPr>
  </w:style>
  <w:style w:type="paragraph" w:customStyle="1" w:styleId="117">
    <w:name w:val="正文_2_0_0"/>
    <w:next w:val="1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
    <w:name w:val="正文首行缩进 2_0_0"/>
    <w:basedOn w:val="119"/>
    <w:qFormat/>
    <w:uiPriority w:val="99"/>
    <w:pPr>
      <w:spacing w:after="120"/>
      <w:ind w:left="200" w:leftChars="200" w:firstLine="200" w:firstLineChars="200"/>
    </w:pPr>
    <w:rPr>
      <w:rFonts w:ascii="Times New Roman" w:hAnsi="Times New Roman"/>
      <w:kern w:val="0"/>
      <w:sz w:val="24"/>
    </w:rPr>
  </w:style>
  <w:style w:type="paragraph" w:customStyle="1" w:styleId="119">
    <w:name w:val="正文文本缩进_0_0"/>
    <w:basedOn w:val="117"/>
    <w:next w:val="117"/>
    <w:qFormat/>
    <w:uiPriority w:val="99"/>
    <w:pPr>
      <w:ind w:firstLine="225" w:firstLineChars="225"/>
    </w:pPr>
    <w:rPr>
      <w:rFonts w:ascii="仿宋_GB2312" w:eastAsia="仿宋_GB2312"/>
      <w:sz w:val="32"/>
    </w:rPr>
  </w:style>
  <w:style w:type="paragraph" w:customStyle="1" w:styleId="120">
    <w:name w:val="Body Text_0"/>
    <w:basedOn w:val="74"/>
    <w:qFormat/>
    <w:uiPriority w:val="0"/>
    <w:pPr>
      <w:spacing w:line="60" w:lineRule="auto"/>
    </w:pPr>
    <w:rPr>
      <w:rFonts w:ascii="仿宋_GB2312" w:eastAsia="仿宋_GB2312"/>
      <w:sz w:val="32"/>
    </w:rPr>
  </w:style>
  <w:style w:type="paragraph" w:customStyle="1" w:styleId="121">
    <w:name w:val="Normal_9_0"/>
    <w:qFormat/>
    <w:uiPriority w:val="0"/>
    <w:rPr>
      <w:rFonts w:ascii="黑体" w:hAnsi="黑体" w:eastAsia="黑体" w:cs="黑体"/>
      <w:b/>
      <w:sz w:val="32"/>
      <w:szCs w:val="24"/>
      <w:lang w:val="en-US" w:eastAsia="zh-CN" w:bidi="ar-SA"/>
    </w:rPr>
  </w:style>
  <w:style w:type="paragraph" w:customStyle="1" w:styleId="122">
    <w:name w:val="table_1stline"/>
    <w:basedOn w:val="1"/>
    <w:qFormat/>
    <w:uiPriority w:val="0"/>
    <w:pPr>
      <w:widowControl/>
      <w:spacing w:before="120"/>
      <w:jc w:val="left"/>
    </w:pPr>
    <w:rPr>
      <w:bCs/>
      <w:kern w:val="0"/>
      <w:sz w:val="20"/>
      <w:szCs w:val="20"/>
      <w:lang w:val="de-DE" w:eastAsia="de-DE"/>
    </w:rPr>
  </w:style>
  <w:style w:type="paragraph" w:customStyle="1" w:styleId="123">
    <w:name w:val="Normal_14_0_0"/>
    <w:qFormat/>
    <w:uiPriority w:val="0"/>
    <w:rPr>
      <w:rFonts w:ascii="黑体" w:hAnsi="黑体" w:eastAsia="黑体" w:cs="Times New Roman"/>
      <w:b/>
      <w:sz w:val="32"/>
      <w:szCs w:val="24"/>
      <w:lang w:val="en-US" w:eastAsia="zh-CN" w:bidi="ar-SA"/>
    </w:rPr>
  </w:style>
  <w:style w:type="paragraph" w:customStyle="1" w:styleId="124">
    <w:name w:val="font7"/>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5">
    <w:name w:val="正文文本缩进_0_0_0_0"/>
    <w:basedOn w:val="126"/>
    <w:next w:val="126"/>
    <w:qFormat/>
    <w:uiPriority w:val="99"/>
    <w:pPr>
      <w:ind w:firstLine="225" w:firstLineChars="225"/>
    </w:pPr>
    <w:rPr>
      <w:rFonts w:ascii="仿宋_GB2312" w:eastAsia="仿宋_GB2312"/>
      <w:sz w:val="32"/>
    </w:rPr>
  </w:style>
  <w:style w:type="paragraph" w:customStyle="1" w:styleId="126">
    <w:name w:val="正文_2_0_0_1_0"/>
    <w:next w:val="12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7">
    <w:name w:val="正文首行缩进 2_0_0_0_0"/>
    <w:basedOn w:val="125"/>
    <w:qFormat/>
    <w:uiPriority w:val="99"/>
    <w:pPr>
      <w:spacing w:after="120"/>
      <w:ind w:left="200" w:leftChars="200" w:firstLine="200" w:firstLineChars="200"/>
    </w:pPr>
    <w:rPr>
      <w:rFonts w:ascii="Times New Roman" w:hAnsi="Times New Roman"/>
      <w:kern w:val="0"/>
      <w:sz w:val="24"/>
    </w:rPr>
  </w:style>
  <w:style w:type="paragraph" w:customStyle="1" w:styleId="128">
    <w:name w:val="正文_8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9">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0">
    <w:name w:val="正文_16_0_0"/>
    <w:next w:val="8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1">
    <w:name w:val="标题_0"/>
    <w:basedOn w:val="132"/>
    <w:next w:val="132"/>
    <w:qFormat/>
    <w:uiPriority w:val="0"/>
    <w:pPr>
      <w:spacing w:before="240" w:after="60"/>
      <w:jc w:val="center"/>
      <w:outlineLvl w:val="0"/>
    </w:pPr>
    <w:rPr>
      <w:rFonts w:ascii="Cambria" w:hAnsi="Cambria"/>
      <w:b/>
      <w:bCs/>
      <w:sz w:val="32"/>
      <w:szCs w:val="32"/>
    </w:rPr>
  </w:style>
  <w:style w:type="paragraph" w:customStyle="1" w:styleId="132">
    <w:name w:val="正文_2_1"/>
    <w:next w:val="131"/>
    <w:qFormat/>
    <w:uiPriority w:val="0"/>
    <w:pPr>
      <w:widowControl w:val="0"/>
      <w:jc w:val="both"/>
    </w:pPr>
    <w:rPr>
      <w:rFonts w:ascii="Calibri" w:hAnsi="Calibri" w:eastAsia="宋体" w:cs="Times New Roman"/>
      <w:sz w:val="21"/>
      <w:szCs w:val="24"/>
      <w:lang w:val="en-US" w:eastAsia="zh-CN" w:bidi="ar-SA"/>
    </w:rPr>
  </w:style>
  <w:style w:type="paragraph" w:customStyle="1" w:styleId="133">
    <w:name w:val="标题 1_0"/>
    <w:basedOn w:val="134"/>
    <w:next w:val="136"/>
    <w:qFormat/>
    <w:uiPriority w:val="0"/>
    <w:pPr>
      <w:keepNext/>
      <w:keepLines/>
      <w:spacing w:before="340" w:after="330" w:line="576" w:lineRule="auto"/>
      <w:outlineLvl w:val="0"/>
    </w:pPr>
    <w:rPr>
      <w:rFonts w:ascii="Times New Roman" w:hAnsi="Times New Roman"/>
      <w:b/>
      <w:kern w:val="44"/>
      <w:sz w:val="44"/>
      <w:szCs w:val="20"/>
    </w:rPr>
  </w:style>
  <w:style w:type="paragraph" w:customStyle="1" w:styleId="134">
    <w:name w:val="正文_2_0"/>
    <w:next w:val="13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5">
    <w:name w:val="标题_0_0"/>
    <w:basedOn w:val="134"/>
    <w:next w:val="134"/>
    <w:qFormat/>
    <w:uiPriority w:val="0"/>
    <w:pPr>
      <w:spacing w:before="240" w:after="60"/>
      <w:jc w:val="center"/>
      <w:outlineLvl w:val="0"/>
    </w:pPr>
    <w:rPr>
      <w:rFonts w:ascii="Cambria" w:hAnsi="Cambria"/>
      <w:b/>
      <w:bCs/>
      <w:sz w:val="32"/>
      <w:szCs w:val="32"/>
    </w:rPr>
  </w:style>
  <w:style w:type="paragraph" w:customStyle="1" w:styleId="136">
    <w:name w:val="正文_2_0_1"/>
    <w:next w:val="133"/>
    <w:qFormat/>
    <w:uiPriority w:val="0"/>
    <w:pPr>
      <w:widowControl w:val="0"/>
      <w:jc w:val="both"/>
    </w:pPr>
    <w:rPr>
      <w:rFonts w:ascii="Calibri" w:hAnsi="Calibri" w:eastAsia="宋体" w:cs="Times New Roman"/>
      <w:kern w:val="2"/>
      <w:sz w:val="21"/>
      <w:szCs w:val="24"/>
      <w:lang w:val="en-US" w:eastAsia="zh-CN" w:bidi="ar-SA"/>
    </w:rPr>
  </w:style>
  <w:style w:type="paragraph" w:customStyle="1" w:styleId="137">
    <w:name w:val="4"/>
    <w:basedOn w:val="1"/>
    <w:next w:val="33"/>
    <w:qFormat/>
    <w:uiPriority w:val="0"/>
    <w:pPr>
      <w:spacing w:line="360" w:lineRule="auto"/>
      <w:ind w:firstLine="420"/>
    </w:pPr>
    <w:rPr>
      <w:color w:val="FF0000"/>
      <w:sz w:val="24"/>
      <w:szCs w:val="24"/>
    </w:rPr>
  </w:style>
  <w:style w:type="paragraph" w:customStyle="1" w:styleId="138">
    <w:name w:val="正文文本缩进_1_0_0_0"/>
    <w:basedOn w:val="139"/>
    <w:qFormat/>
    <w:uiPriority w:val="0"/>
    <w:pPr>
      <w:ind w:firstLine="225" w:firstLineChars="225"/>
    </w:pPr>
    <w:rPr>
      <w:rFonts w:ascii="仿宋_GB2312" w:eastAsia="仿宋_GB2312"/>
      <w:sz w:val="32"/>
    </w:rPr>
  </w:style>
  <w:style w:type="paragraph" w:customStyle="1" w:styleId="139">
    <w:name w:val="正文_3_1_0_0"/>
    <w:next w:val="13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0">
    <w:name w:val="table_lines"/>
    <w:basedOn w:val="1"/>
    <w:qFormat/>
    <w:uiPriority w:val="0"/>
    <w:pPr>
      <w:widowControl/>
      <w:jc w:val="left"/>
    </w:pPr>
    <w:rPr>
      <w:kern w:val="0"/>
      <w:sz w:val="20"/>
      <w:szCs w:val="20"/>
      <w:lang w:val="de-DE" w:eastAsia="de-DE"/>
    </w:rPr>
  </w:style>
  <w:style w:type="paragraph" w:styleId="141">
    <w:name w:val="No Spacing"/>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2">
    <w:name w:val="正文2"/>
    <w:basedOn w:val="1"/>
    <w:qFormat/>
    <w:uiPriority w:val="0"/>
    <w:pPr>
      <w:spacing w:before="156" w:line="360" w:lineRule="auto"/>
      <w:ind w:firstLine="510" w:firstLineChars="200"/>
    </w:pPr>
    <w:rPr>
      <w:sz w:val="24"/>
      <w:szCs w:val="20"/>
    </w:rPr>
  </w:style>
  <w:style w:type="paragraph" w:customStyle="1" w:styleId="143">
    <w:name w:val="正文文本缩进_1_0_0_1"/>
    <w:basedOn w:val="144"/>
    <w:qFormat/>
    <w:uiPriority w:val="0"/>
    <w:pPr>
      <w:ind w:firstLine="225" w:firstLineChars="225"/>
    </w:pPr>
    <w:rPr>
      <w:rFonts w:ascii="仿宋_GB2312" w:eastAsia="仿宋_GB2312"/>
      <w:sz w:val="32"/>
    </w:rPr>
  </w:style>
  <w:style w:type="paragraph" w:customStyle="1" w:styleId="144">
    <w:name w:val="正文_3_1_0_1"/>
    <w:next w:val="14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5">
    <w:name w:val="正文文本12"/>
    <w:basedOn w:val="1"/>
    <w:qFormat/>
    <w:uiPriority w:val="1"/>
    <w:pPr>
      <w:ind w:left="120"/>
    </w:pPr>
    <w:rPr>
      <w:rFonts w:ascii="宋体" w:hAnsi="宋体" w:cs="宋体"/>
      <w:lang w:val="zh-CN" w:bidi="zh-CN"/>
    </w:rPr>
  </w:style>
  <w:style w:type="paragraph" w:customStyle="1" w:styleId="146">
    <w:name w:val="Normal_21"/>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147">
    <w:name w:val="Normal_5_0"/>
    <w:qFormat/>
    <w:uiPriority w:val="0"/>
    <w:pPr>
      <w:widowControl w:val="0"/>
      <w:jc w:val="both"/>
    </w:pPr>
    <w:rPr>
      <w:rFonts w:ascii="Calibri" w:hAnsi="Calibri" w:eastAsia="宋体" w:cs="Times New Roman"/>
      <w:sz w:val="21"/>
      <w:szCs w:val="22"/>
      <w:lang w:val="en-US" w:eastAsia="zh-CN" w:bidi="ar-SA"/>
    </w:rPr>
  </w:style>
  <w:style w:type="paragraph" w:customStyle="1" w:styleId="148">
    <w:name w:val="正文_2_0_0_0"/>
    <w:qFormat/>
    <w:uiPriority w:val="0"/>
    <w:pPr>
      <w:widowControl w:val="0"/>
      <w:jc w:val="both"/>
    </w:pPr>
    <w:rPr>
      <w:rFonts w:ascii="Calibri" w:hAnsi="Calibri" w:eastAsia="宋体" w:cs="Times New Roman"/>
      <w:lang w:val="en-US" w:eastAsia="zh-CN" w:bidi="ar-SA"/>
    </w:rPr>
  </w:style>
  <w:style w:type="paragraph" w:customStyle="1" w:styleId="149">
    <w:name w:val="TOC 4"/>
    <w:basedOn w:val="150"/>
    <w:next w:val="150"/>
    <w:qFormat/>
    <w:uiPriority w:val="0"/>
    <w:pPr>
      <w:ind w:left="600" w:leftChars="600"/>
    </w:pPr>
  </w:style>
  <w:style w:type="paragraph" w:customStyle="1" w:styleId="150">
    <w:name w:val="Normal_19"/>
    <w:next w:val="15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1">
    <w:name w:val="列表接续 21"/>
    <w:basedOn w:val="150"/>
    <w:next w:val="149"/>
    <w:qFormat/>
    <w:uiPriority w:val="0"/>
    <w:pPr>
      <w:spacing w:after="120"/>
      <w:ind w:left="840" w:leftChars="400"/>
    </w:pPr>
    <w:rPr>
      <w:rFonts w:eastAsia="Times New Roman"/>
    </w:rPr>
  </w:style>
  <w:style w:type="paragraph" w:customStyle="1" w:styleId="152">
    <w:name w:val="正文_1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3">
    <w:name w:val="正文_16_0"/>
    <w:next w:val="15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4">
    <w:name w:val="标题 3_0_0"/>
    <w:basedOn w:val="117"/>
    <w:next w:val="153"/>
    <w:qFormat/>
    <w:uiPriority w:val="0"/>
    <w:pPr>
      <w:keepNext/>
      <w:keepLines/>
      <w:spacing w:before="260" w:after="260" w:line="413" w:lineRule="auto"/>
      <w:outlineLvl w:val="2"/>
    </w:pPr>
    <w:rPr>
      <w:rFonts w:ascii="Times New Roman" w:hAnsi="Times New Roman"/>
      <w:b/>
      <w:sz w:val="32"/>
      <w:szCs w:val="20"/>
    </w:rPr>
  </w:style>
  <w:style w:type="paragraph" w:customStyle="1" w:styleId="155">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6">
    <w:name w:val="正文_9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7">
    <w:name w:val="xl2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24"/>
      <w:szCs w:val="24"/>
    </w:rPr>
  </w:style>
  <w:style w:type="paragraph" w:customStyle="1" w:styleId="158">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9">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160">
    <w:name w:val="Body Text(ch)"/>
    <w:basedOn w:val="1"/>
    <w:next w:val="17"/>
    <w:qFormat/>
    <w:uiPriority w:val="0"/>
    <w:pPr>
      <w:spacing w:after="120"/>
    </w:pPr>
    <w:rPr>
      <w:rFonts w:ascii="宋体" w:hAnsi="Arial"/>
      <w:bCs/>
      <w:iCs/>
      <w:szCs w:val="24"/>
    </w:rPr>
  </w:style>
  <w:style w:type="paragraph" w:customStyle="1" w:styleId="161">
    <w:name w:val="List Paragraph_0"/>
    <w:basedOn w:val="85"/>
    <w:qFormat/>
    <w:uiPriority w:val="0"/>
    <w:pPr>
      <w:ind w:firstLine="420"/>
    </w:pPr>
  </w:style>
  <w:style w:type="paragraph" w:customStyle="1" w:styleId="162">
    <w:name w:val="Normal_15_0"/>
    <w:qFormat/>
    <w:uiPriority w:val="0"/>
    <w:rPr>
      <w:rFonts w:ascii="黑体" w:hAnsi="黑体" w:eastAsia="黑体" w:cs="黑体"/>
      <w:b/>
      <w:sz w:val="32"/>
      <w:szCs w:val="24"/>
      <w:lang w:val="en-US" w:eastAsia="zh-CN" w:bidi="ar-SA"/>
    </w:rPr>
  </w:style>
  <w:style w:type="paragraph" w:customStyle="1" w:styleId="16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64">
    <w:name w:val="批注文字_0"/>
    <w:basedOn w:val="85"/>
    <w:qFormat/>
    <w:uiPriority w:val="99"/>
    <w:pPr>
      <w:jc w:val="left"/>
    </w:pPr>
    <w:rPr>
      <w:szCs w:val="20"/>
    </w:rPr>
  </w:style>
  <w:style w:type="paragraph" w:customStyle="1" w:styleId="165">
    <w:name w:val="Normal_6_0"/>
    <w:qFormat/>
    <w:uiPriority w:val="0"/>
    <w:rPr>
      <w:rFonts w:ascii="黑体" w:hAnsi="黑体" w:eastAsia="黑体" w:cs="黑体"/>
      <w:b/>
      <w:sz w:val="32"/>
      <w:szCs w:val="24"/>
      <w:lang w:val="en-US" w:eastAsia="zh-CN" w:bidi="ar-SA"/>
    </w:rPr>
  </w:style>
  <w:style w:type="paragraph" w:customStyle="1" w:styleId="166">
    <w:name w:val="font5"/>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167">
    <w:name w:val="xl30"/>
    <w:basedOn w:val="1"/>
    <w:qFormat/>
    <w:uiPriority w:val="0"/>
    <w:pPr>
      <w:widowControl/>
      <w:spacing w:before="100" w:beforeAutospacing="1" w:after="100" w:afterAutospacing="1"/>
      <w:jc w:val="center"/>
    </w:pPr>
    <w:rPr>
      <w:rFonts w:ascii="宋体" w:hAnsi="宋体"/>
      <w:b/>
      <w:bCs/>
      <w:kern w:val="0"/>
      <w:sz w:val="36"/>
      <w:szCs w:val="36"/>
    </w:rPr>
  </w:style>
  <w:style w:type="paragraph" w:customStyle="1" w:styleId="168">
    <w:name w:val="_Style 166"/>
    <w:semiHidden/>
    <w:qFormat/>
    <w:uiPriority w:val="99"/>
    <w:rPr>
      <w:rFonts w:ascii="Times New Roman" w:hAnsi="Times New Roman" w:eastAsia="宋体" w:cs="Times New Roman"/>
      <w:kern w:val="2"/>
      <w:sz w:val="21"/>
      <w:szCs w:val="21"/>
      <w:lang w:val="en-US" w:eastAsia="zh-CN" w:bidi="ar-SA"/>
    </w:rPr>
  </w:style>
  <w:style w:type="paragraph" w:customStyle="1" w:styleId="169">
    <w:name w:val="Table Paragraph_0"/>
    <w:basedOn w:val="74"/>
    <w:qFormat/>
    <w:uiPriority w:val="1"/>
    <w:rPr>
      <w:rFonts w:ascii="宋体" w:hAnsi="宋体" w:eastAsia="Times New Roman" w:cs="宋体"/>
      <w:lang w:val="zh-CN" w:bidi="zh-CN"/>
    </w:rPr>
  </w:style>
  <w:style w:type="paragraph" w:customStyle="1" w:styleId="170">
    <w:name w:val="正文_14_0"/>
    <w:qFormat/>
    <w:uiPriority w:val="0"/>
    <w:pPr>
      <w:widowControl w:val="0"/>
      <w:jc w:val="both"/>
    </w:pPr>
    <w:rPr>
      <w:rFonts w:ascii="Calibri" w:hAnsi="Calibri" w:eastAsia="宋体" w:cs="Times New Roman"/>
      <w:sz w:val="21"/>
      <w:szCs w:val="22"/>
      <w:lang w:val="en-US" w:eastAsia="zh-CN" w:bidi="ar-SA"/>
    </w:rPr>
  </w:style>
  <w:style w:type="paragraph" w:customStyle="1" w:styleId="171">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kern w:val="0"/>
      <w:sz w:val="24"/>
      <w:szCs w:val="24"/>
    </w:rPr>
  </w:style>
  <w:style w:type="paragraph" w:customStyle="1" w:styleId="172">
    <w:name w:val="正文_17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3">
    <w:name w:val="Normal_10_0"/>
    <w:qFormat/>
    <w:uiPriority w:val="0"/>
    <w:rPr>
      <w:rFonts w:ascii="黑体" w:hAnsi="黑体" w:eastAsia="黑体" w:cs="黑体"/>
      <w:b/>
      <w:sz w:val="32"/>
      <w:szCs w:val="24"/>
      <w:lang w:val="en-US" w:eastAsia="zh-CN" w:bidi="ar-SA"/>
    </w:rPr>
  </w:style>
  <w:style w:type="paragraph" w:customStyle="1" w:styleId="174">
    <w:name w:val="xl25"/>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175">
    <w:name w:val="正文_14_0_0"/>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176">
    <w:name w:val="正文_9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7">
    <w:name w:val="Normal_18_0"/>
    <w:qFormat/>
    <w:uiPriority w:val="0"/>
    <w:rPr>
      <w:rFonts w:ascii="黑体" w:hAnsi="黑体" w:eastAsia="黑体" w:cs="黑体"/>
      <w:b/>
      <w:sz w:val="32"/>
      <w:szCs w:val="24"/>
      <w:lang w:val="en-US" w:eastAsia="zh-CN" w:bidi="ar-SA"/>
    </w:rPr>
  </w:style>
  <w:style w:type="paragraph" w:customStyle="1" w:styleId="178">
    <w:name w:val="正文文本2"/>
    <w:basedOn w:val="150"/>
    <w:qFormat/>
    <w:uiPriority w:val="0"/>
    <w:pPr>
      <w:spacing w:line="60" w:lineRule="auto"/>
    </w:pPr>
    <w:rPr>
      <w:rFonts w:ascii="仿宋_GB2312" w:eastAsia="仿宋_GB2312"/>
      <w:sz w:val="32"/>
    </w:rPr>
  </w:style>
  <w:style w:type="paragraph" w:customStyle="1" w:styleId="179">
    <w:name w:val="正文_1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181">
    <w:name w:val="正文文本21"/>
    <w:basedOn w:val="146"/>
    <w:qFormat/>
    <w:uiPriority w:val="0"/>
    <w:pPr>
      <w:spacing w:line="60" w:lineRule="auto"/>
    </w:pPr>
    <w:rPr>
      <w:rFonts w:ascii="仿宋_GB2312" w:eastAsia="仿宋_GB2312"/>
      <w:sz w:val="32"/>
      <w:szCs w:val="22"/>
    </w:rPr>
  </w:style>
  <w:style w:type="paragraph" w:customStyle="1" w:styleId="182">
    <w:name w:val="正文_15_0"/>
    <w:qFormat/>
    <w:uiPriority w:val="0"/>
    <w:pPr>
      <w:widowControl w:val="0"/>
      <w:jc w:val="both"/>
    </w:pPr>
    <w:rPr>
      <w:rFonts w:ascii="Calibri" w:hAnsi="Calibri" w:eastAsia="宋体" w:cs="Times New Roman"/>
      <w:sz w:val="21"/>
      <w:szCs w:val="22"/>
      <w:lang w:val="en-US" w:eastAsia="zh-CN" w:bidi="ar-SA"/>
    </w:rPr>
  </w:style>
  <w:style w:type="paragraph" w:customStyle="1" w:styleId="183">
    <w:name w:val="样式1"/>
    <w:basedOn w:val="1"/>
    <w:qFormat/>
    <w:uiPriority w:val="0"/>
    <w:pPr>
      <w:numPr>
        <w:ilvl w:val="0"/>
        <w:numId w:val="3"/>
      </w:numPr>
      <w:adjustRightInd w:val="0"/>
      <w:textAlignment w:val="baseline"/>
    </w:pPr>
    <w:rPr>
      <w:rFonts w:ascii="宋体" w:hAnsi="宋体"/>
      <w:kern w:val="0"/>
    </w:rPr>
  </w:style>
  <w:style w:type="paragraph" w:customStyle="1" w:styleId="184">
    <w:name w:val="普通 (Web)"/>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185">
    <w:name w:val="Table Paragraph"/>
    <w:basedOn w:val="150"/>
    <w:qFormat/>
    <w:uiPriority w:val="1"/>
    <w:rPr>
      <w:rFonts w:ascii="宋体" w:hAnsi="宋体" w:eastAsia="Times New Roman" w:cs="宋体"/>
      <w:lang w:val="zh-CN" w:bidi="zh-CN"/>
    </w:rPr>
  </w:style>
  <w:style w:type="paragraph" w:customStyle="1" w:styleId="186">
    <w:name w:val="正文文本缩进_1_0_0"/>
    <w:basedOn w:val="187"/>
    <w:qFormat/>
    <w:uiPriority w:val="0"/>
    <w:pPr>
      <w:ind w:firstLine="225" w:firstLineChars="225"/>
    </w:pPr>
    <w:rPr>
      <w:rFonts w:ascii="仿宋_GB2312" w:eastAsia="仿宋_GB2312"/>
      <w:sz w:val="32"/>
    </w:rPr>
  </w:style>
  <w:style w:type="paragraph" w:customStyle="1" w:styleId="187">
    <w:name w:val="正文_3_1_0"/>
    <w:next w:val="18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8">
    <w:name w:val="Char1"/>
    <w:basedOn w:val="14"/>
    <w:qFormat/>
    <w:uiPriority w:val="0"/>
    <w:rPr>
      <w:rFonts w:ascii="Tahoma" w:hAnsi="Tahoma"/>
      <w:sz w:val="24"/>
      <w:szCs w:val="24"/>
    </w:rPr>
  </w:style>
  <w:style w:type="paragraph" w:customStyle="1" w:styleId="189">
    <w:name w:val="索引 41"/>
    <w:basedOn w:val="1"/>
    <w:next w:val="1"/>
    <w:semiHidden/>
    <w:qFormat/>
    <w:uiPriority w:val="0"/>
    <w:pPr>
      <w:ind w:left="1260"/>
    </w:pPr>
    <w:rPr>
      <w:rFonts w:ascii="Calibri" w:hAnsi="Calibri" w:eastAsia="Calibri" w:cs="宋体"/>
      <w:sz w:val="20"/>
      <w:lang w:val="zh-CN"/>
    </w:rPr>
  </w:style>
  <w:style w:type="paragraph" w:customStyle="1" w:styleId="190">
    <w:name w:val="图标"/>
    <w:basedOn w:val="1"/>
    <w:next w:val="1"/>
    <w:qFormat/>
    <w:uiPriority w:val="0"/>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eastAsia="仿宋_GB2312"/>
      <w:kern w:val="0"/>
      <w:sz w:val="24"/>
      <w:szCs w:val="20"/>
    </w:rPr>
  </w:style>
  <w:style w:type="paragraph" w:customStyle="1" w:styleId="191">
    <w:name w:val="正文_1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2">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193">
    <w:name w:val="正文文本_0"/>
    <w:basedOn w:val="85"/>
    <w:qFormat/>
    <w:uiPriority w:val="0"/>
    <w:pPr>
      <w:spacing w:line="60" w:lineRule="auto"/>
    </w:pPr>
    <w:rPr>
      <w:rFonts w:ascii="仿宋_GB2312" w:eastAsia="仿宋_GB2312"/>
      <w:sz w:val="32"/>
    </w:rPr>
  </w:style>
  <w:style w:type="paragraph" w:customStyle="1" w:styleId="194">
    <w:name w:val="Normal_0_1"/>
    <w:qFormat/>
    <w:uiPriority w:val="0"/>
    <w:rPr>
      <w:rFonts w:ascii="黑体" w:hAnsi="黑体" w:eastAsia="黑体" w:cs="黑体"/>
      <w:b/>
      <w:sz w:val="32"/>
      <w:szCs w:val="24"/>
      <w:lang w:val="en-US" w:eastAsia="zh-CN" w:bidi="ar-SA"/>
    </w:rPr>
  </w:style>
  <w:style w:type="paragraph" w:customStyle="1" w:styleId="195">
    <w:name w:val="Normal_0"/>
    <w:qFormat/>
    <w:uiPriority w:val="0"/>
    <w:rPr>
      <w:rFonts w:ascii="黑体" w:hAnsi="黑体" w:eastAsia="黑体" w:cs="Times New Roman"/>
      <w:b/>
      <w:sz w:val="32"/>
      <w:szCs w:val="24"/>
      <w:lang w:val="en-US" w:eastAsia="zh-CN" w:bidi="ar-SA"/>
    </w:rPr>
  </w:style>
  <w:style w:type="paragraph" w:customStyle="1" w:styleId="196">
    <w:name w:val="首行缩进"/>
    <w:basedOn w:val="1"/>
    <w:qFormat/>
    <w:uiPriority w:val="0"/>
    <w:pPr>
      <w:ind w:firstLine="480"/>
    </w:pPr>
    <w:rPr>
      <w:lang w:val="zh-CN"/>
    </w:rPr>
  </w:style>
  <w:style w:type="paragraph" w:customStyle="1" w:styleId="197">
    <w:name w:val="Normal_12_0"/>
    <w:qFormat/>
    <w:uiPriority w:val="0"/>
    <w:rPr>
      <w:rFonts w:ascii="黑体" w:hAnsi="黑体" w:eastAsia="黑体" w:cs="黑体"/>
      <w:b/>
      <w:sz w:val="32"/>
      <w:szCs w:val="24"/>
      <w:lang w:val="en-US" w:eastAsia="zh-CN" w:bidi="ar-SA"/>
    </w:rPr>
  </w:style>
  <w:style w:type="paragraph" w:customStyle="1" w:styleId="198">
    <w:name w:val="正文_12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9">
    <w:name w:val="Char Char Char Char1"/>
    <w:basedOn w:val="14"/>
    <w:qFormat/>
    <w:uiPriority w:val="0"/>
    <w:pPr>
      <w:adjustRightInd w:val="0"/>
      <w:snapToGrid w:val="0"/>
      <w:spacing w:line="360" w:lineRule="auto"/>
    </w:pPr>
    <w:rPr>
      <w:rFonts w:ascii="Tahoma" w:hAnsi="Tahoma"/>
      <w:sz w:val="24"/>
      <w:szCs w:val="24"/>
    </w:rPr>
  </w:style>
  <w:style w:type="paragraph" w:customStyle="1" w:styleId="200">
    <w:name w:val="Normal_16_0"/>
    <w:qFormat/>
    <w:uiPriority w:val="0"/>
    <w:rPr>
      <w:rFonts w:ascii="黑体" w:hAnsi="黑体" w:eastAsia="黑体" w:cs="黑体"/>
      <w:b/>
      <w:sz w:val="32"/>
      <w:szCs w:val="24"/>
      <w:lang w:val="en-US" w:eastAsia="zh-CN" w:bidi="ar-SA"/>
    </w:rPr>
  </w:style>
  <w:style w:type="paragraph" w:customStyle="1" w:styleId="201">
    <w:name w:val="Char Char Char Char Char Char Char Char Char Char"/>
    <w:basedOn w:val="1"/>
    <w:qFormat/>
    <w:uiPriority w:val="0"/>
    <w:pPr>
      <w:adjustRightInd w:val="0"/>
      <w:spacing w:line="360" w:lineRule="auto"/>
    </w:pPr>
    <w:rPr>
      <w:kern w:val="0"/>
      <w:sz w:val="24"/>
      <w:szCs w:val="20"/>
    </w:rPr>
  </w:style>
  <w:style w:type="paragraph" w:customStyle="1" w:styleId="202">
    <w:name w:val="纯文本1"/>
    <w:basedOn w:val="1"/>
    <w:qFormat/>
    <w:uiPriority w:val="0"/>
    <w:rPr>
      <w:rFonts w:ascii="宋体" w:hAnsi="Courier New" w:cs="Courier New"/>
    </w:rPr>
  </w:style>
  <w:style w:type="paragraph" w:customStyle="1" w:styleId="203">
    <w:name w:val="Normal_16_0_0"/>
    <w:qFormat/>
    <w:uiPriority w:val="0"/>
    <w:pPr>
      <w:widowControl w:val="0"/>
      <w:jc w:val="both"/>
    </w:pPr>
    <w:rPr>
      <w:rFonts w:ascii="Calibri" w:hAnsi="Calibri" w:eastAsia="宋体" w:cs="Times New Roman"/>
      <w:lang w:val="en-US" w:eastAsia="zh-CN" w:bidi="ar-SA"/>
    </w:rPr>
  </w:style>
  <w:style w:type="character" w:customStyle="1" w:styleId="204">
    <w:name w:val="标题 3 Char"/>
    <w:link w:val="4"/>
    <w:qFormat/>
    <w:uiPriority w:val="0"/>
    <w:rPr>
      <w:rFonts w:ascii="Times New Roman" w:hAnsi="Times New Roman" w:eastAsia="宋体" w:cs="Times New Roman"/>
      <w:b/>
      <w:bCs/>
      <w:sz w:val="32"/>
      <w:szCs w:val="32"/>
    </w:rPr>
  </w:style>
  <w:style w:type="character" w:customStyle="1" w:styleId="205">
    <w:name w:val="正文文本 2 Char"/>
    <w:link w:val="37"/>
    <w:qFormat/>
    <w:uiPriority w:val="0"/>
    <w:rPr>
      <w:rFonts w:ascii="楷体_GB2312" w:hAnsi="Times New Roman" w:eastAsia="楷体_GB2312" w:cs="Times New Roman"/>
      <w:sz w:val="28"/>
      <w:szCs w:val="28"/>
    </w:rPr>
  </w:style>
  <w:style w:type="character" w:customStyle="1" w:styleId="206">
    <w:name w:val="页脚 Char"/>
    <w:link w:val="27"/>
    <w:qFormat/>
    <w:uiPriority w:val="0"/>
    <w:rPr>
      <w:rFonts w:ascii="Times New Roman" w:hAnsi="Times New Roman" w:eastAsia="宋体" w:cs="Times New Roman"/>
      <w:sz w:val="18"/>
      <w:szCs w:val="18"/>
    </w:rPr>
  </w:style>
  <w:style w:type="character" w:customStyle="1" w:styleId="207">
    <w:name w:val="正文文本缩进 2 Char"/>
    <w:link w:val="25"/>
    <w:qFormat/>
    <w:uiPriority w:val="0"/>
    <w:rPr>
      <w:rFonts w:ascii="Arial" w:hAnsi="Arial" w:eastAsia="仿宋_GB2312" w:cs="Arial"/>
      <w:sz w:val="32"/>
      <w:szCs w:val="32"/>
    </w:rPr>
  </w:style>
  <w:style w:type="character" w:customStyle="1" w:styleId="208">
    <w:name w:val="纯文本 Char"/>
    <w:link w:val="22"/>
    <w:qFormat/>
    <w:uiPriority w:val="0"/>
    <w:rPr>
      <w:rFonts w:ascii="宋体" w:hAnsi="Courier New" w:eastAsia="宋体" w:cs="Courier New"/>
      <w:szCs w:val="21"/>
    </w:rPr>
  </w:style>
  <w:style w:type="character" w:customStyle="1" w:styleId="209">
    <w:name w:val="正文首行缩进 Char"/>
    <w:link w:val="41"/>
    <w:qFormat/>
    <w:uiPriority w:val="0"/>
    <w:rPr>
      <w:rFonts w:ascii="仿宋_GB2312" w:hAnsi="Times New Roman" w:eastAsia="仿宋_GB2312" w:cs="Times New Roman"/>
      <w:sz w:val="30"/>
      <w:szCs w:val="30"/>
    </w:rPr>
  </w:style>
  <w:style w:type="character" w:customStyle="1" w:styleId="210">
    <w:name w:val="列出段落 Char"/>
    <w:link w:val="94"/>
    <w:qFormat/>
    <w:locked/>
    <w:uiPriority w:val="0"/>
    <w:rPr>
      <w:rFonts w:ascii="Calibri" w:hAnsi="Calibri"/>
      <w:sz w:val="24"/>
      <w:szCs w:val="24"/>
      <w:lang w:eastAsia="en-US" w:bidi="en-US"/>
    </w:rPr>
  </w:style>
  <w:style w:type="character" w:customStyle="1" w:styleId="211">
    <w:name w:val="页眉 Char"/>
    <w:link w:val="28"/>
    <w:qFormat/>
    <w:uiPriority w:val="0"/>
    <w:rPr>
      <w:rFonts w:ascii="Times New Roman" w:hAnsi="Times New Roman" w:eastAsia="宋体" w:cs="Times New Roman"/>
      <w:sz w:val="18"/>
      <w:szCs w:val="18"/>
    </w:rPr>
  </w:style>
  <w:style w:type="character" w:customStyle="1" w:styleId="212">
    <w:name w:val="批注文字 Char"/>
    <w:link w:val="15"/>
    <w:semiHidden/>
    <w:qFormat/>
    <w:uiPriority w:val="0"/>
    <w:rPr>
      <w:rFonts w:ascii="Times New Roman" w:hAnsi="Times New Roman" w:eastAsia="宋体" w:cs="Times New Roman"/>
      <w:szCs w:val="21"/>
    </w:rPr>
  </w:style>
  <w:style w:type="character" w:customStyle="1" w:styleId="213">
    <w:name w:val="正文文本 Char"/>
    <w:link w:val="17"/>
    <w:qFormat/>
    <w:uiPriority w:val="0"/>
    <w:rPr>
      <w:rFonts w:ascii="楷体_GB2312" w:hAnsi="Arial" w:eastAsia="楷体_GB2312" w:cs="Times New Roman"/>
      <w:sz w:val="28"/>
      <w:szCs w:val="28"/>
    </w:rPr>
  </w:style>
  <w:style w:type="character" w:customStyle="1" w:styleId="214">
    <w:name w:val="标题 4 Char"/>
    <w:link w:val="6"/>
    <w:qFormat/>
    <w:uiPriority w:val="0"/>
    <w:rPr>
      <w:rFonts w:ascii="Arial" w:hAnsi="Arial" w:eastAsia="黑体" w:cs="Arial"/>
      <w:b/>
      <w:bCs/>
      <w:sz w:val="28"/>
      <w:szCs w:val="28"/>
    </w:rPr>
  </w:style>
  <w:style w:type="character" w:customStyle="1" w:styleId="215">
    <w:name w:val="标题 6 Char"/>
    <w:link w:val="8"/>
    <w:qFormat/>
    <w:uiPriority w:val="0"/>
    <w:rPr>
      <w:rFonts w:ascii="Arial" w:hAnsi="Arial" w:eastAsia="黑体" w:cs="Times New Roman"/>
      <w:b/>
      <w:bCs/>
      <w:sz w:val="24"/>
      <w:szCs w:val="24"/>
    </w:rPr>
  </w:style>
  <w:style w:type="character" w:customStyle="1" w:styleId="216">
    <w:name w:val="标题 2 Char"/>
    <w:link w:val="3"/>
    <w:qFormat/>
    <w:uiPriority w:val="0"/>
    <w:rPr>
      <w:rFonts w:ascii="Arial" w:hAnsi="Arial" w:eastAsia="幼圆" w:cs="Arial"/>
      <w:b/>
      <w:bCs/>
      <w:sz w:val="44"/>
      <w:szCs w:val="44"/>
    </w:rPr>
  </w:style>
  <w:style w:type="character" w:customStyle="1" w:styleId="217">
    <w:name w:val="正文文本缩进 3 Char"/>
    <w:link w:val="33"/>
    <w:qFormat/>
    <w:uiPriority w:val="0"/>
    <w:rPr>
      <w:rFonts w:ascii="Arial" w:hAnsi="Arial" w:eastAsia="仿宋_GB2312" w:cs="Arial"/>
      <w:color w:val="FFFF00"/>
      <w:sz w:val="32"/>
      <w:szCs w:val="32"/>
    </w:rPr>
  </w:style>
  <w:style w:type="character" w:customStyle="1" w:styleId="218">
    <w:name w:val="批注主题 Char"/>
    <w:link w:val="40"/>
    <w:semiHidden/>
    <w:qFormat/>
    <w:uiPriority w:val="0"/>
    <w:rPr>
      <w:rFonts w:ascii="Times New Roman" w:hAnsi="Times New Roman" w:eastAsia="宋体" w:cs="Times New Roman"/>
      <w:b/>
      <w:bCs/>
      <w:szCs w:val="21"/>
    </w:rPr>
  </w:style>
  <w:style w:type="character" w:customStyle="1" w:styleId="219">
    <w:name w:val="font5 Char"/>
    <w:qFormat/>
    <w:uiPriority w:val="0"/>
    <w:rPr>
      <w:rFonts w:ascii="宋体" w:hAnsi="宋体" w:eastAsia="宋体"/>
      <w:sz w:val="28"/>
      <w:szCs w:val="28"/>
      <w:lang w:val="en-US" w:eastAsia="zh-CN" w:bidi="ar-SA"/>
    </w:rPr>
  </w:style>
  <w:style w:type="character" w:customStyle="1" w:styleId="220">
    <w:name w:val="文档结构图 Char"/>
    <w:link w:val="14"/>
    <w:semiHidden/>
    <w:qFormat/>
    <w:uiPriority w:val="0"/>
    <w:rPr>
      <w:rFonts w:ascii="Times New Roman" w:hAnsi="Times New Roman" w:eastAsia="宋体" w:cs="Times New Roman"/>
      <w:szCs w:val="21"/>
      <w:shd w:val="clear" w:color="auto" w:fill="000080"/>
    </w:rPr>
  </w:style>
  <w:style w:type="character" w:customStyle="1" w:styleId="221">
    <w:name w:val="正文首行缩进 2 Char"/>
    <w:link w:val="42"/>
    <w:qFormat/>
    <w:uiPriority w:val="0"/>
    <w:rPr>
      <w:rFonts w:ascii="宋体" w:hAnsi="宋体" w:eastAsia="宋体" w:cs="Times New Roman"/>
      <w:sz w:val="32"/>
      <w:szCs w:val="20"/>
    </w:rPr>
  </w:style>
  <w:style w:type="character" w:customStyle="1" w:styleId="222">
    <w:name w:val="正文缩进 Char"/>
    <w:link w:val="5"/>
    <w:qFormat/>
    <w:uiPriority w:val="0"/>
    <w:rPr>
      <w:rFonts w:ascii="Times New Roman" w:hAnsi="Times New Roman" w:eastAsia="宋体" w:cs="Times New Roman"/>
      <w:szCs w:val="21"/>
    </w:rPr>
  </w:style>
  <w:style w:type="character" w:customStyle="1" w:styleId="223">
    <w:name w:val="标题 9 Char"/>
    <w:link w:val="11"/>
    <w:qFormat/>
    <w:uiPriority w:val="0"/>
    <w:rPr>
      <w:rFonts w:ascii="Arial" w:hAnsi="Arial" w:eastAsia="黑体" w:cs="Times New Roman"/>
      <w:szCs w:val="21"/>
    </w:rPr>
  </w:style>
  <w:style w:type="character" w:customStyle="1" w:styleId="224">
    <w:name w:val="标题 8 Char"/>
    <w:link w:val="10"/>
    <w:qFormat/>
    <w:uiPriority w:val="0"/>
    <w:rPr>
      <w:rFonts w:ascii="Arial" w:hAnsi="Arial" w:eastAsia="黑体" w:cs="Times New Roman"/>
      <w:sz w:val="24"/>
      <w:szCs w:val="24"/>
    </w:rPr>
  </w:style>
  <w:style w:type="character" w:customStyle="1" w:styleId="225">
    <w:name w:val="正文文本 3 Char"/>
    <w:link w:val="16"/>
    <w:qFormat/>
    <w:uiPriority w:val="0"/>
    <w:rPr>
      <w:rFonts w:ascii="仿宋_GB2312" w:hAnsi="Arial" w:eastAsia="仿宋_GB2312" w:cs="Times New Roman"/>
      <w:sz w:val="32"/>
      <w:szCs w:val="32"/>
    </w:rPr>
  </w:style>
  <w:style w:type="character" w:customStyle="1" w:styleId="226">
    <w:name w:val="批注框文本 Char"/>
    <w:link w:val="26"/>
    <w:semiHidden/>
    <w:qFormat/>
    <w:uiPriority w:val="0"/>
    <w:rPr>
      <w:rFonts w:ascii="Times New Roman" w:hAnsi="Times New Roman" w:eastAsia="宋体" w:cs="Times New Roman"/>
      <w:sz w:val="18"/>
      <w:szCs w:val="18"/>
    </w:rPr>
  </w:style>
  <w:style w:type="character" w:customStyle="1" w:styleId="227">
    <w:name w:val="二级目录 Char"/>
    <w:link w:val="100"/>
    <w:qFormat/>
    <w:uiPriority w:val="0"/>
    <w:rPr>
      <w:rFonts w:ascii="Times New Roman" w:hAnsi="Times New Roman"/>
      <w:b/>
      <w:kern w:val="2"/>
      <w:sz w:val="30"/>
      <w:szCs w:val="28"/>
    </w:rPr>
  </w:style>
  <w:style w:type="character" w:customStyle="1" w:styleId="228">
    <w:name w:val="标题 5 Char"/>
    <w:link w:val="7"/>
    <w:qFormat/>
    <w:uiPriority w:val="0"/>
    <w:rPr>
      <w:rFonts w:ascii="宋体" w:hAnsi="Times New Roman" w:eastAsia="宋体" w:cs="Times New Roman"/>
      <w:color w:val="000000"/>
      <w:kern w:val="0"/>
      <w:sz w:val="28"/>
      <w:szCs w:val="28"/>
    </w:rPr>
  </w:style>
  <w:style w:type="character" w:customStyle="1" w:styleId="229">
    <w:name w:val="日期 Char"/>
    <w:link w:val="24"/>
    <w:qFormat/>
    <w:uiPriority w:val="0"/>
    <w:rPr>
      <w:rFonts w:ascii="Times New Roman" w:hAnsi="Times New Roman" w:eastAsia="宋体" w:cs="Times New Roman"/>
      <w:sz w:val="24"/>
      <w:szCs w:val="24"/>
    </w:rPr>
  </w:style>
  <w:style w:type="character" w:customStyle="1" w:styleId="230">
    <w:name w:val="标题 1 Char"/>
    <w:link w:val="2"/>
    <w:qFormat/>
    <w:uiPriority w:val="0"/>
    <w:rPr>
      <w:rFonts w:ascii="楷体_GB2312" w:hAnsi="Times New Roman" w:eastAsia="楷体_GB2312" w:cs="Times New Roman"/>
      <w:sz w:val="28"/>
      <w:szCs w:val="28"/>
    </w:rPr>
  </w:style>
  <w:style w:type="character" w:customStyle="1" w:styleId="231">
    <w:name w:val="标题 7 Char"/>
    <w:link w:val="9"/>
    <w:qFormat/>
    <w:uiPriority w:val="0"/>
    <w:rPr>
      <w:rFonts w:ascii="Times New Roman" w:hAnsi="Times New Roman" w:eastAsia="宋体" w:cs="Times New Roman"/>
      <w:b/>
      <w:bCs/>
      <w:sz w:val="24"/>
      <w:szCs w:val="24"/>
    </w:rPr>
  </w:style>
  <w:style w:type="character" w:customStyle="1" w:styleId="232">
    <w:name w:val="正文文本缩进 Char"/>
    <w:link w:val="18"/>
    <w:qFormat/>
    <w:uiPriority w:val="0"/>
    <w:rPr>
      <w:rFonts w:ascii="楷体_GB2312" w:hAnsi="Times New Roman" w:eastAsia="楷体_GB2312" w:cs="Times New Roman"/>
      <w:sz w:val="32"/>
      <w:szCs w:val="32"/>
    </w:rPr>
  </w:style>
  <w:style w:type="table" w:customStyle="1" w:styleId="233">
    <w:name w:val="Table Normal"/>
    <w:qFormat/>
    <w:uiPriority w:val="0"/>
    <w:tblPr>
      <w:tblCellMar>
        <w:top w:w="0" w:type="dxa"/>
        <w:left w:w="0" w:type="dxa"/>
        <w:bottom w:w="0" w:type="dxa"/>
        <w:right w:w="0" w:type="dxa"/>
      </w:tblCellMar>
    </w:tblPr>
  </w:style>
  <w:style w:type="table" w:customStyle="1" w:styleId="234">
    <w:name w:val="网格型_1_0"/>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5">
    <w:name w:val="WPSOffice手动目录 1"/>
    <w:qFormat/>
    <w:uiPriority w:val="0"/>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89</Pages>
  <Words>16571</Words>
  <Characters>17517</Characters>
  <Lines>356</Lines>
  <Paragraphs>100</Paragraphs>
  <TotalTime>1</TotalTime>
  <ScaleCrop>false</ScaleCrop>
  <LinksUpToDate>false</LinksUpToDate>
  <CharactersWithSpaces>17711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2023-03-16T02:16:00Z</dcterms:created>
  <dc:creator>赵国文</dc:creator>
  <cp:lastModifiedBy>WPS_1704270076</cp:lastModifiedBy>
  <dcterms:modified xsi:type="dcterms:W3CDTF">2025-03-17T03:56:53Z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3216F34271B14EF9BEEEFE512F187CC3_13</vt:lpwstr>
  </property>
  <property fmtid="{D5CDD505-2E9C-101B-9397-08002B2CF9AE}" pid="4" name="KSOTemplateDocerSaveRecord">
    <vt:lpwstr>eyJoZGlkIjoiMTVjZTI1YTgzYzRjYTAyMTE2OTc4ODMzMWU3NjVkOWIiLCJ1c2VySWQiOiIyNTQ2OTIyNTYifQ==</vt:lpwstr>
  </property>
  <property fmtid="{D5CDD505-2E9C-101B-9397-08002B2CF9AE}" pid="5" name="KSOSaveFontToCloudKey">
    <vt:lpwstr>1572026601_embed</vt:lpwstr>
  </property>
</Properties>
</file>